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5E9F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甜甜圈城市文献</w:t>
      </w:r>
      <w:r>
        <w:rPr>
          <w:rFonts w:hint="eastAsia" w:asciiTheme="minorEastAsia" w:hAnsiTheme="minorEastAsia" w:eastAsiaTheme="minorEastAsia" w:cstheme="minorEastAsia"/>
          <w:i w:val="0"/>
          <w:iCs w:val="0"/>
          <w:caps w:val="0"/>
          <w:color w:val="0F1115"/>
          <w:spacing w:val="0"/>
          <w:sz w:val="21"/>
          <w:szCs w:val="21"/>
          <w:u w:val="none"/>
          <w:lang w:eastAsia="zh-CN"/>
        </w:rPr>
        <w:t>收集模板</w:t>
      </w:r>
    </w:p>
    <w:p w14:paraId="495CA31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姓名：喻子乐</w:t>
      </w:r>
    </w:p>
    <w:p w14:paraId="01EA0B3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一、文献基本信息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4"/>
      </w:tblGrid>
      <w:tr w14:paraId="6D8F38AF">
        <w:trPr>
          <w:jc w:val="center"/>
        </w:trPr>
        <w:tc>
          <w:tcPr>
            <w:tcW w:w="8504" w:type="dxa"/>
            <w:shd w:val="clear" w:color="auto" w:fill="D9EAF7"/>
            <w:tcMar>
              <w:top w:w="90" w:type="dxa"/>
              <w:left w:w="100" w:type="dxa"/>
              <w:bottom w:w="90" w:type="dxa"/>
              <w:right w:w="100" w:type="dxa"/>
            </w:tcMar>
            <w:vAlign w:val="center"/>
          </w:tcPr>
          <w:p w14:paraId="0ABC1C1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城市/区域（中英文）：康沃尔 Cornwall</w:t>
            </w:r>
          </w:p>
        </w:tc>
      </w:tr>
      <w:tr w14:paraId="54CA93AE">
        <w:trPr>
          <w:jc w:val="center"/>
        </w:trPr>
        <w:tc>
          <w:tcPr>
            <w:tcW w:w="8504" w:type="dxa"/>
            <w:shd w:val="clear" w:color="auto" w:fill="D9EAF7"/>
            <w:tcMar>
              <w:top w:w="90" w:type="dxa"/>
              <w:left w:w="100" w:type="dxa"/>
              <w:bottom w:w="90" w:type="dxa"/>
              <w:right w:w="100" w:type="dxa"/>
            </w:tcMar>
            <w:vAlign w:val="center"/>
          </w:tcPr>
          <w:p w14:paraId="2A7E929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国家/地区（中英文）：英国The United Kingdom</w:t>
            </w:r>
          </w:p>
        </w:tc>
      </w:tr>
      <w:tr w14:paraId="00218BB6">
        <w:trPr>
          <w:trHeight w:val="907" w:hRule="atLeast"/>
          <w:jc w:val="center"/>
        </w:trPr>
        <w:tc>
          <w:tcPr>
            <w:tcW w:w="8504" w:type="dxa"/>
            <w:shd w:val="clear" w:color="auto" w:fill="D9EAF7"/>
            <w:tcMar>
              <w:top w:w="90" w:type="dxa"/>
              <w:left w:w="100" w:type="dxa"/>
              <w:bottom w:w="90" w:type="dxa"/>
              <w:right w:w="100" w:type="dxa"/>
            </w:tcMar>
            <w:vAlign w:val="center"/>
          </w:tcPr>
          <w:p w14:paraId="6AF7E27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开始时间</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2020年10月</w:t>
            </w:r>
          </w:p>
        </w:tc>
      </w:tr>
    </w:tbl>
    <w:p w14:paraId="21F963B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二、文献筛选标准（每找到一篇都先判断）</w:t>
      </w:r>
    </w:p>
    <w:p w14:paraId="777234F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 xml:space="preserve">1. 这篇材料是否直接涉及 Doughnut / Doughnut Economics / Doughnut City </w:t>
      </w:r>
      <w:bookmarkStart w:id="0" w:name="_GoBack"/>
      <w:bookmarkEnd w:id="0"/>
      <w:r>
        <w:rPr>
          <w:rFonts w:hint="eastAsia" w:asciiTheme="minorEastAsia" w:hAnsiTheme="minorEastAsia" w:eastAsiaTheme="minorEastAsia" w:cstheme="minorEastAsia"/>
          <w:i w:val="0"/>
          <w:iCs w:val="0"/>
          <w:caps w:val="0"/>
          <w:color w:val="0F1115"/>
          <w:spacing w:val="0"/>
          <w:sz w:val="21"/>
          <w:szCs w:val="21"/>
          <w:u w:val="none"/>
          <w:lang w:eastAsia="zh-CN"/>
        </w:rPr>
        <w:t>/ DEAL / City Portrait？</w:t>
      </w:r>
    </w:p>
    <w:p w14:paraId="73671B1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2. 它属于哪类来源</w:t>
      </w:r>
      <w:r>
        <w:rPr>
          <w:rFonts w:hint="eastAsia" w:asciiTheme="minorEastAsia" w:hAnsiTheme="minorEastAsia" w:eastAsiaTheme="minorEastAsia" w:cstheme="minorEastAsia"/>
          <w:i w:val="0"/>
          <w:iCs w:val="0"/>
          <w:caps w:val="0"/>
          <w:color w:val="0F1115"/>
          <w:spacing w:val="0"/>
          <w:sz w:val="21"/>
          <w:szCs w:val="21"/>
          <w:u w:val="none"/>
          <w:lang w:eastAsia="zh-CN"/>
        </w:rPr>
        <w:t>类型</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政府官网、项目官网、政策文件、学术论文、新闻报道、评论文章</w:t>
      </w:r>
      <w:r>
        <w:rPr>
          <w:rFonts w:hint="eastAsia" w:asciiTheme="minorEastAsia" w:hAnsiTheme="minorEastAsia" w:eastAsiaTheme="minorEastAsia" w:cstheme="minorEastAsia"/>
          <w:i w:val="0"/>
          <w:iCs w:val="0"/>
          <w:caps w:val="0"/>
          <w:color w:val="0F1115"/>
          <w:spacing w:val="0"/>
          <w:sz w:val="21"/>
          <w:szCs w:val="21"/>
          <w:u w:val="none"/>
          <w:lang w:eastAsia="zh-CN"/>
        </w:rPr>
        <w:t>？</w:t>
      </w:r>
    </w:p>
    <w:p w14:paraId="5587D55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3. 它提供的是原始信息，还是转述别人的信息？优先保留原始来源。</w:t>
      </w:r>
    </w:p>
    <w:p w14:paraId="570F5DA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4. 它是否能回答本组问题：这座城市为什么采用甜甜圈、做了什么、推进到哪一步？</w:t>
      </w:r>
    </w:p>
    <w:p w14:paraId="0389296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5. 若不能直接支撑研究，请放入“备用资料”，不要放入核心文献。</w:t>
      </w:r>
    </w:p>
    <w:p w14:paraId="5D28DB6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三、文献收集与整理</w:t>
      </w:r>
    </w:p>
    <w:p w14:paraId="2932E82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 xml:space="preserve">文献 </w:t>
      </w:r>
      <w:r>
        <w:rPr>
          <w:rFonts w:hint="eastAsia" w:asciiTheme="minorEastAsia" w:hAnsiTheme="minorEastAsia" w:eastAsiaTheme="minorEastAsia" w:cstheme="minorEastAsia"/>
          <w:i w:val="0"/>
          <w:iCs w:val="0"/>
          <w:caps w:val="0"/>
          <w:color w:val="0F1115"/>
          <w:spacing w:val="0"/>
          <w:sz w:val="21"/>
          <w:szCs w:val="21"/>
          <w:u w:val="none"/>
          <w:lang w:val="en-US" w:eastAsia="zh-CN"/>
        </w:rPr>
        <w:t>1</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3"/>
        <w:gridCol w:w="6283"/>
      </w:tblGrid>
      <w:tr w14:paraId="039DF859">
        <w:trPr>
          <w:jc w:val="center"/>
        </w:trPr>
        <w:tc>
          <w:tcPr>
            <w:tcW w:w="2268" w:type="dxa"/>
            <w:shd w:val="clear" w:color="auto" w:fill="EAF2F8"/>
            <w:tcMar>
              <w:top w:w="90" w:type="dxa"/>
              <w:left w:w="100" w:type="dxa"/>
              <w:bottom w:w="90" w:type="dxa"/>
              <w:right w:w="100" w:type="dxa"/>
            </w:tcMar>
            <w:vAlign w:val="center"/>
          </w:tcPr>
          <w:p w14:paraId="5CD2FBE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文献题目</w:t>
            </w:r>
          </w:p>
        </w:tc>
        <w:tc>
          <w:tcPr>
            <w:tcW w:w="6350" w:type="dxa"/>
            <w:tcMar>
              <w:top w:w="90" w:type="dxa"/>
              <w:left w:w="100" w:type="dxa"/>
              <w:bottom w:w="90" w:type="dxa"/>
              <w:right w:w="100" w:type="dxa"/>
            </w:tcMar>
            <w:vAlign w:val="center"/>
          </w:tcPr>
          <w:p w14:paraId="1B8B78E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Downscaling doughnut economics for sustainability governance</w:t>
            </w:r>
          </w:p>
        </w:tc>
      </w:tr>
      <w:tr w14:paraId="608A8297">
        <w:trPr>
          <w:jc w:val="center"/>
        </w:trPr>
        <w:tc>
          <w:tcPr>
            <w:tcW w:w="2268" w:type="dxa"/>
            <w:shd w:val="clear" w:color="auto" w:fill="EAF2F8"/>
            <w:tcMar>
              <w:top w:w="90" w:type="dxa"/>
              <w:left w:w="100" w:type="dxa"/>
              <w:bottom w:w="90" w:type="dxa"/>
              <w:right w:w="100" w:type="dxa"/>
            </w:tcMar>
            <w:vAlign w:val="center"/>
          </w:tcPr>
          <w:p w14:paraId="1A471EF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作者/机构</w:t>
            </w:r>
          </w:p>
        </w:tc>
        <w:tc>
          <w:tcPr>
            <w:tcW w:w="6350" w:type="dxa"/>
            <w:tcMar>
              <w:top w:w="90" w:type="dxa"/>
              <w:left w:w="100" w:type="dxa"/>
              <w:bottom w:w="90" w:type="dxa"/>
              <w:right w:w="100" w:type="dxa"/>
            </w:tcMar>
            <w:vAlign w:val="center"/>
          </w:tcPr>
          <w:p w14:paraId="05F442F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Rachel A Turner, Jane Wills / University of Exeter, Environment and Sustainability Institute</w:t>
            </w:r>
          </w:p>
        </w:tc>
      </w:tr>
      <w:tr w14:paraId="330DCF6C">
        <w:trPr>
          <w:jc w:val="center"/>
        </w:trPr>
        <w:tc>
          <w:tcPr>
            <w:tcW w:w="2268" w:type="dxa"/>
            <w:shd w:val="clear" w:color="auto" w:fill="EAF2F8"/>
            <w:tcMar>
              <w:top w:w="90" w:type="dxa"/>
              <w:left w:w="100" w:type="dxa"/>
              <w:bottom w:w="90" w:type="dxa"/>
              <w:right w:w="100" w:type="dxa"/>
            </w:tcMar>
            <w:vAlign w:val="center"/>
          </w:tcPr>
          <w:p w14:paraId="2EACDBD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来源类型</w:t>
            </w:r>
          </w:p>
        </w:tc>
        <w:tc>
          <w:tcPr>
            <w:tcW w:w="6350" w:type="dxa"/>
            <w:tcMar>
              <w:top w:w="90" w:type="dxa"/>
              <w:left w:w="100" w:type="dxa"/>
              <w:bottom w:w="90" w:type="dxa"/>
              <w:right w:w="100" w:type="dxa"/>
            </w:tcMar>
            <w:vAlign w:val="center"/>
          </w:tcPr>
          <w:p w14:paraId="3E8223C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学术论文（期刊文章）</w:t>
            </w:r>
          </w:p>
        </w:tc>
      </w:tr>
      <w:tr w14:paraId="0584630A">
        <w:trPr>
          <w:jc w:val="center"/>
        </w:trPr>
        <w:tc>
          <w:tcPr>
            <w:tcW w:w="2268" w:type="dxa"/>
            <w:shd w:val="clear" w:color="auto" w:fill="EAF2F8"/>
            <w:tcMar>
              <w:top w:w="90" w:type="dxa"/>
              <w:left w:w="100" w:type="dxa"/>
              <w:bottom w:w="90" w:type="dxa"/>
              <w:right w:w="100" w:type="dxa"/>
            </w:tcMar>
            <w:vAlign w:val="center"/>
          </w:tcPr>
          <w:p w14:paraId="0B7A55B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链接或数据库</w:t>
            </w:r>
          </w:p>
        </w:tc>
        <w:tc>
          <w:tcPr>
            <w:tcW w:w="6350" w:type="dxa"/>
            <w:tcMar>
              <w:top w:w="90" w:type="dxa"/>
              <w:left w:w="100" w:type="dxa"/>
              <w:bottom w:w="90" w:type="dxa"/>
              <w:right w:w="100" w:type="dxa"/>
            </w:tcMar>
            <w:vAlign w:val="center"/>
          </w:tcPr>
          <w:p w14:paraId="5A87767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https://doi.org/10.1016/j.cosust.2022.101180</w:t>
            </w:r>
          </w:p>
        </w:tc>
      </w:tr>
      <w:tr w14:paraId="16E12F7A">
        <w:trPr>
          <w:jc w:val="center"/>
        </w:trPr>
        <w:tc>
          <w:tcPr>
            <w:tcW w:w="2268" w:type="dxa"/>
            <w:shd w:val="clear" w:color="auto" w:fill="EAF2F8"/>
            <w:tcMar>
              <w:top w:w="90" w:type="dxa"/>
              <w:left w:w="100" w:type="dxa"/>
              <w:bottom w:w="90" w:type="dxa"/>
              <w:right w:w="100" w:type="dxa"/>
            </w:tcMar>
            <w:vAlign w:val="center"/>
          </w:tcPr>
          <w:p w14:paraId="2691230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发布时间</w:t>
            </w:r>
          </w:p>
        </w:tc>
        <w:tc>
          <w:tcPr>
            <w:tcW w:w="6350" w:type="dxa"/>
            <w:tcMar>
              <w:top w:w="90" w:type="dxa"/>
              <w:left w:w="100" w:type="dxa"/>
              <w:bottom w:w="90" w:type="dxa"/>
              <w:right w:w="100" w:type="dxa"/>
            </w:tcMar>
            <w:vAlign w:val="center"/>
          </w:tcPr>
          <w:p w14:paraId="7F4C619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2022年（发表于 </w:t>
            </w:r>
            <w:r>
              <w:rPr>
                <w:rFonts w:hint="eastAsia" w:asciiTheme="minorEastAsia" w:hAnsiTheme="minorEastAsia" w:eastAsiaTheme="minorEastAsia" w:cstheme="minorEastAsia"/>
                <w:i w:val="0"/>
                <w:iCs w:val="0"/>
                <w:caps w:val="0"/>
                <w:color w:val="0F1115"/>
                <w:spacing w:val="0"/>
                <w:sz w:val="21"/>
                <w:szCs w:val="21"/>
                <w:u w:val="none"/>
                <w:lang w:eastAsia="zh-CN"/>
              </w:rPr>
              <w:t>Current Opinion in Environmental Sustainability</w:t>
            </w:r>
            <w:r>
              <w:rPr>
                <w:rFonts w:hint="eastAsia" w:asciiTheme="minorEastAsia" w:hAnsiTheme="minorEastAsia" w:eastAsiaTheme="minorEastAsia" w:cstheme="minorEastAsia"/>
                <w:i w:val="0"/>
                <w:iCs w:val="0"/>
                <w:caps w:val="0"/>
                <w:color w:val="0F1115"/>
                <w:spacing w:val="0"/>
                <w:sz w:val="21"/>
                <w:szCs w:val="21"/>
                <w:u w:val="none"/>
                <w:lang w:eastAsia="zh-CN"/>
              </w:rPr>
              <w:t>, Vol. 56）</w:t>
            </w:r>
          </w:p>
        </w:tc>
      </w:tr>
      <w:tr w14:paraId="349F6B54">
        <w:trPr>
          <w:jc w:val="center"/>
        </w:trPr>
        <w:tc>
          <w:tcPr>
            <w:tcW w:w="2268" w:type="dxa"/>
            <w:shd w:val="clear" w:color="auto" w:fill="EAF2F8"/>
            <w:tcMar>
              <w:top w:w="90" w:type="dxa"/>
              <w:left w:w="100" w:type="dxa"/>
              <w:bottom w:w="90" w:type="dxa"/>
              <w:right w:w="100" w:type="dxa"/>
            </w:tcMar>
            <w:vAlign w:val="center"/>
          </w:tcPr>
          <w:p w14:paraId="7F931E2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为什么值得收集</w:t>
            </w:r>
          </w:p>
        </w:tc>
        <w:tc>
          <w:tcPr>
            <w:tcW w:w="6350" w:type="dxa"/>
            <w:tcMar>
              <w:top w:w="90" w:type="dxa"/>
              <w:left w:w="100" w:type="dxa"/>
              <w:bottom w:w="90" w:type="dxa"/>
              <w:right w:w="100" w:type="dxa"/>
            </w:tcMar>
            <w:vAlign w:val="center"/>
          </w:tcPr>
          <w:p w14:paraId="4DED73C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jc w:val="both"/>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这是目前学术界对“甜甜圈经济学下沉到地方治理”最系统的分析之一，以康沃尔为关键案例，直接回答了“为什么采用”的理论背景、“做了什么”的具体实践（见Box 1）、以及“推进中遇到的三大挑战”。作者Turner正是康沃尔甜甜圈研究报告的主要负责人，具有权威性。</w:t>
            </w:r>
          </w:p>
        </w:tc>
      </w:tr>
      <w:tr w14:paraId="200CFF20">
        <w:trPr>
          <w:jc w:val="center"/>
        </w:trPr>
        <w:tc>
          <w:tcPr>
            <w:tcW w:w="2268" w:type="dxa"/>
            <w:shd w:val="clear" w:color="auto" w:fill="EAF2F8"/>
            <w:tcMar>
              <w:top w:w="90" w:type="dxa"/>
              <w:left w:w="100" w:type="dxa"/>
              <w:bottom w:w="90" w:type="dxa"/>
              <w:right w:w="100" w:type="dxa"/>
            </w:tcMar>
            <w:vAlign w:val="center"/>
          </w:tcPr>
          <w:p w14:paraId="52AFC80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原文（</w:t>
            </w:r>
            <w:r>
              <w:rPr>
                <w:rFonts w:hint="eastAsia" w:asciiTheme="minorEastAsia" w:hAnsiTheme="minorEastAsia" w:eastAsiaTheme="minorEastAsia" w:cstheme="minorEastAsia"/>
                <w:i w:val="0"/>
                <w:iCs w:val="0"/>
                <w:caps w:val="0"/>
                <w:color w:val="0F1115"/>
                <w:spacing w:val="0"/>
                <w:sz w:val="21"/>
                <w:szCs w:val="21"/>
                <w:u w:val="none"/>
                <w:lang w:val="en-US" w:eastAsia="zh-CN"/>
              </w:rPr>
              <w:t>节选</w:t>
            </w:r>
            <w:r>
              <w:rPr>
                <w:rFonts w:hint="eastAsia" w:asciiTheme="minorEastAsia" w:hAnsiTheme="minorEastAsia" w:eastAsiaTheme="minorEastAsia" w:cstheme="minorEastAsia"/>
                <w:i w:val="0"/>
                <w:iCs w:val="0"/>
                <w:caps w:val="0"/>
                <w:color w:val="0F1115"/>
                <w:spacing w:val="0"/>
                <w:sz w:val="21"/>
                <w:szCs w:val="21"/>
                <w:u w:val="none"/>
                <w:lang w:eastAsia="zh-CN"/>
              </w:rPr>
              <w:t>）</w:t>
            </w:r>
          </w:p>
        </w:tc>
        <w:tc>
          <w:tcPr>
            <w:tcW w:w="6350" w:type="dxa"/>
            <w:tcMar>
              <w:top w:w="90" w:type="dxa"/>
              <w:left w:w="100" w:type="dxa"/>
              <w:bottom w:w="90" w:type="dxa"/>
              <w:right w:w="100" w:type="dxa"/>
            </w:tcMar>
            <w:vAlign w:val="center"/>
          </w:tcPr>
          <w:p w14:paraId="5F6EF39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concept of ‘doughnut economics’ is attracting growing attention from policy-makers and has the potential to unify stakeholders around a holistic vision of sustainable development. The ‘safe and just’ space within the doughnut is framed at a global scale, based on human needs that represent a foundation for social wellbeing, and planetary boundaries reflecting biophysical limits. However, the geographical division of political power between and within nations means that its ability to stimulate change will depend upon its application at national and subnational scales. This paper examines the challenges facing local institutions in downscaling doughnut economics for planning, decision-making and leadership; draws on wider literature from previous efforts to localise sustainability governance to help illuminate these challenges; and outlines a future research agenda to support local governance for a safe and just space. This work is motivated by our experience of working with a local authority in Cornwall, UK, as they grappled with using the doughnut to inform decision-making and activity, and we use this case study to illustrate the challenges identified.</w:t>
            </w:r>
          </w:p>
          <w:p w14:paraId="3E83756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Box 1 Experimenting with doughnut economics and local governance in Cornwall, UK.</w:t>
            </w:r>
          </w:p>
          <w:p w14:paraId="543C5EF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Cornwall Council covers a rural county in southwest England, with a dispersed population of just over half a million residents concentrated around small towns. The Council declared a climate and ecological emergency in 2019 and has since developed ambitious plans to achieve carbon neutrality and boost nature recovery. As part of this work, Council officers began to experiment with the doughnut to take a holistic view when considering major decisions. The Council created a ‘decision-making wheel’ that incorporated a traffic light system to register the potential impact of change on 21 social and ecological domains, which broadly mirrored those used by other versions of the doughnut. Subsequent research by the authors in partnership with the Council developed a portrait of the ‘Cornish doughnut’, identifying existing data that could be used to assess the current situation. In combination with a public consultation launched by the Council to ask people about ‘the Cornwall we want’, this work contributed to a new strategic plan, The Cornwall Plan 2020–50 with the goal of achieving greater social and ecological sustainability. The plan was published in early 2021 with endorsement from the Cornwall and Isles of Scilly Leadership Board, a multistakeholder forum that includes public, private and voluntary sector partners. Since initial publication, the Leadership Board has undertaken an Annual Review that evaluated progress against the doughnut as well as including independent research to assess the strength of collaborative partnership working. The need for deeper community engagement in securing the delivery of the plan has been identified as a pressing issue for action in future. Our involvement in this process of applying the doughnut framework in Cornwall has illuminated the challenges identified in the literature reviewed in this paper.</w:t>
            </w:r>
          </w:p>
          <w:p w14:paraId="2B14F6F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Representing, understanding and responding to complex systems:</w:t>
            </w:r>
            <w:r>
              <w:rPr>
                <w:rFonts w:hint="eastAsia" w:asciiTheme="minorEastAsia" w:hAnsiTheme="minorEastAsia" w:eastAsiaTheme="minorEastAsia" w:cstheme="minorEastAsia"/>
                <w:i w:val="0"/>
                <w:iCs w:val="0"/>
                <w:caps w:val="0"/>
                <w:color w:val="0F1115"/>
                <w:spacing w:val="0"/>
                <w:sz w:val="21"/>
                <w:szCs w:val="21"/>
                <w:u w:val="none"/>
                <w:lang w:eastAsia="zh-CN"/>
              </w:rPr>
              <w:t> identifying goals and monitoring progress is hampered by a lack of suitable data, targets and indicators at a county scale, as well as conflicting views among Leadership Board partners around which indicators are most appropriate. Many national datasets are unavailable locally, and for some domains, no appropriate available indicators could be identified. Available indicators predominantly assess relative progress rather than change in relation to goals or limits, for which locally appropriate values are difficult to determine. Moreover, indicators are likely to be monitored discretely with no established mechanism to consider interactions among and between social and environmental domains either within the locality or across scales. While the doughnut is useful to visualise the potential impacts of decisions, integrating complex dynamics and interactions further requires developing the means to take stock of all decision-making in order to identify the aggregated and cumulative impact across Cornwall and to then alter course if required. However, decision-making within the council is necessarily siloed between departments, and there are only weak mechanisms to develop an aggregated view.</w:t>
            </w:r>
          </w:p>
          <w:p w14:paraId="5E5225A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Goal coherence across scales:</w:t>
            </w:r>
            <w:r>
              <w:rPr>
                <w:rFonts w:hint="eastAsia" w:asciiTheme="minorEastAsia" w:hAnsiTheme="minorEastAsia" w:eastAsiaTheme="minorEastAsia" w:cstheme="minorEastAsia"/>
                <w:i w:val="0"/>
                <w:iCs w:val="0"/>
                <w:caps w:val="0"/>
                <w:color w:val="0F1115"/>
                <w:spacing w:val="0"/>
                <w:sz w:val="21"/>
                <w:szCs w:val="21"/>
                <w:u w:val="none"/>
                <w:lang w:eastAsia="zh-CN"/>
              </w:rPr>
              <w:t> Community activists promoted the use of the doughnut in advance of the upsurge in environmental activism that prompted many governments to declare a climate and ecological emergency in late 2019. This double-movement encouraged council officers and elected councillors to start experimenting with the doughnut, but subsequent elections and the pressures of the COVID-19 pandemic changed the political context again, highlighting a vulnerability to political change in the absence of a higher level steer towards this approach. Since the election of new political leadership in Cornwall in 2021, previous priorities will inevitably change and may reconfigure policy ambitions. Furthermore, multiscalar connections within and beyond the county present challenges. The unitary council covers the whole county and works with more than 200 town and parish councils at the very local scale. Ensuring that they have the authority and capacity to lead while also ensuring pan-county progress towards the goal of the plan is one challenge. In key areas such as planning, both town and parish councils and the County Council are also constrained by national-level policy.</w:t>
            </w:r>
          </w:p>
          <w:p w14:paraId="107BA16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Navigating power dynamics, inequalities and trade-offs:</w:t>
            </w:r>
            <w:r>
              <w:rPr>
                <w:rFonts w:hint="eastAsia" w:asciiTheme="minorEastAsia" w:hAnsiTheme="minorEastAsia" w:eastAsiaTheme="minorEastAsia" w:cstheme="minorEastAsia"/>
                <w:i w:val="0"/>
                <w:iCs w:val="0"/>
                <w:caps w:val="0"/>
                <w:color w:val="0F1115"/>
                <w:spacing w:val="0"/>
                <w:sz w:val="21"/>
                <w:szCs w:val="21"/>
                <w:u w:val="none"/>
                <w:lang w:eastAsia="zh-CN"/>
              </w:rPr>
              <w:t> A county-wide portrait of the doughnut risks masking the wide divisions in wealth within Cornwall, while there is an absence of data at town and parish level that makes it difficult to identify and monitor particular areas of concern. To facilitate the dialogue needed to identify and debate potential trade-offs across sectors, there is a need to ensure shared ownership and coordinated leadership across the public, private and voluntary sector organisations involved in delivering on different goals in the Cornwall Plan. This requires fostering trust among partners; consideration of how the plan‘s objectives align with existing strategies, goals and modes of working; and building institutional memory. With the development of The Cornwall Plan, there is now also a need to boost effective stakeholder engagement, to communicate the vision of the plan in a way that engages a broad range of organisations, businesses, civil society groups and citizens who have an interest in its implementation, to ensure their voices are heard; build wider momentum and capacity for action; and enable space for deliberation over difficult decisions. This will present significant risks for politicians and elected officials in opening up their decisions to public debate, posing a danger of losing control of the plan as it has to reflect the wider range of voices and new ideas that are raised. However, recognising the potential to mobilise the capacity of civil society to achieve the goals of the plan, the Leadership Board have committed to wider engagement to support the identification of short-term priorities for shared action. As well as the challenge of ensuring broad representation in such processes, wider engagement will mean the need to engage with power dynamics and vested interests.</w:t>
            </w:r>
          </w:p>
          <w:p w14:paraId="71EAF00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Our review of the literature and reflection on our experience of applying this approach to local governance in Cornwall, UK, has highlighted three major challenges involved in downscaling the doughnut to subnational scales. Each of these incorporates problems that are found in evaluations of other efforts to localise governance for sustainable development, as well as those distinct to downscaling global models.</w:t>
            </w:r>
          </w:p>
          <w:p w14:paraId="5D07756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First, representing, understanding and responding to complex systems.</w:t>
            </w:r>
            <w:r>
              <w:rPr>
                <w:rFonts w:hint="eastAsia" w:asciiTheme="minorEastAsia" w:hAnsiTheme="minorEastAsia" w:eastAsiaTheme="minorEastAsia" w:cstheme="minorEastAsia"/>
                <w:i w:val="0"/>
                <w:iCs w:val="0"/>
                <w:caps w:val="0"/>
                <w:color w:val="0F1115"/>
                <w:spacing w:val="0"/>
                <w:sz w:val="21"/>
                <w:szCs w:val="21"/>
                <w:u w:val="none"/>
                <w:lang w:eastAsia="zh-CN"/>
              </w:rPr>
              <w:t> Downscaling the doughnut may require more attention to connectivity across scales than has been demanded by past approaches to local governance for sustainable development. The task of downscaling global models intensifies established challenges around goal setting, indicator selection, data availability and ongoing monitoring because it requires goal setting to be informed by an understanding of context-specific social and ecological trends and how they interact to influence both local and planetary outcomes. There are particular complications in incorporating a burden-sharing approach that explores the extent to which local activity contributes to global trends and problems. In practice, this may not be viable due to data paucity, scientific uncertainty, weak institutional legitimacy, and the need to consider place-sensitive problems and solutions.</w:t>
            </w:r>
          </w:p>
          <w:p w14:paraId="022F5B5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Second, goal coherence across scales.</w:t>
            </w:r>
            <w:r>
              <w:rPr>
                <w:rFonts w:hint="eastAsia" w:asciiTheme="minorEastAsia" w:hAnsiTheme="minorEastAsia" w:eastAsiaTheme="minorEastAsia" w:cstheme="minorEastAsia"/>
                <w:i w:val="0"/>
                <w:iCs w:val="0"/>
                <w:caps w:val="0"/>
                <w:color w:val="0F1115"/>
                <w:spacing w:val="0"/>
                <w:sz w:val="21"/>
                <w:szCs w:val="21"/>
                <w:u w:val="none"/>
                <w:lang w:eastAsia="zh-CN"/>
              </w:rPr>
              <w:t> Coherence across global, regional and local agendas is important to galvanise actors and institutions. Global institutions can help drive ‘action coherence’ across scales, encouraging stakeholders to subscribe to shared goals, set priorities, allocate resources, establish or modify institutions, and facilitate implementation. Yet, with the concept of planetary boundaries prioritising scientific expertise and discussed primarily in academic debates, and the doughnut commonly appealing to policy-makers and practitioners at national or subnational scales, neither has the traction across spatial scales that has been achieved through the steer by the UN in the case of SDGs. Without cross-scale coherence, local action can be frustrated by wider economic and political systems. Local authorities may have little control over important issues such as planning processes, even if political power has been devolved for other concerns.</w:t>
            </w:r>
          </w:p>
          <w:p w14:paraId="6DD0D70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Third, navigating power dynamics, inequalities and trade-offs.</w:t>
            </w:r>
            <w:r>
              <w:rPr>
                <w:rFonts w:hint="eastAsia" w:asciiTheme="minorEastAsia" w:hAnsiTheme="minorEastAsia" w:eastAsiaTheme="minorEastAsia" w:cstheme="minorEastAsia"/>
                <w:i w:val="0"/>
                <w:iCs w:val="0"/>
                <w:caps w:val="0"/>
                <w:color w:val="0F1115"/>
                <w:spacing w:val="0"/>
                <w:sz w:val="21"/>
                <w:szCs w:val="21"/>
                <w:u w:val="none"/>
                <w:lang w:eastAsia="zh-CN"/>
              </w:rPr>
              <w:t> Moving towards a safe and just space involves hard choices among and between social and environmental objectives, meaning that local governance institutions will need to engage with difficult trade-offs. While the underpinning vision of sustainable development inherently implies potential trade-offs, policy-makers continue to struggle to avoid siloed decision-making and to systematically understand interactions between aspects of sustainable development. Translating the ambition behind the doughnut to local action is inherently political given the demand for social and economic shifts that imply a significant redistribution of power and resources. Critical social science research highlights the need for principles to underpin such decision-making processes, ensuring that governance for sustainable development is transparent, accountable, and responsive, particularly to those who are marginalised.</w:t>
            </w:r>
          </w:p>
          <w:p w14:paraId="39F8D5D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While the doughnut offers the promise of a new approach to reinvigorate sustainable development, questions about the potential for local governance institutions to support this have been under-examined. Our review identifies three key challenges in downscaling the doughnut: representing, understanding and responding to complex systems; goal coherence across scales; and difficult decisions and trade-offs. Downscaling the doughnut intensifies these challenges, while at the same time reflecting well-established concerns in governance studies (such as those relating to capacity, public engagement and conflicting interests). These challenges are substantial, yet addressing them is essential to achieving progress towards sustainable development, and the doughnut may offer a powerful vision to motivate local action in this regard.</w:t>
            </w:r>
          </w:p>
        </w:tc>
      </w:tr>
      <w:tr w14:paraId="6D04A821">
        <w:trPr>
          <w:jc w:val="center"/>
        </w:trPr>
        <w:tc>
          <w:tcPr>
            <w:tcW w:w="2268" w:type="dxa"/>
            <w:shd w:val="clear" w:color="auto" w:fill="EAF2F8"/>
            <w:tcMar>
              <w:top w:w="90" w:type="dxa"/>
              <w:left w:w="100" w:type="dxa"/>
              <w:bottom w:w="90" w:type="dxa"/>
              <w:right w:w="100" w:type="dxa"/>
            </w:tcMar>
            <w:vAlign w:val="center"/>
          </w:tcPr>
          <w:p w14:paraId="60DE04D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中文翻译</w:t>
            </w:r>
          </w:p>
        </w:tc>
        <w:tc>
          <w:tcPr>
            <w:tcW w:w="6350" w:type="dxa"/>
            <w:tcMar>
              <w:top w:w="90" w:type="dxa"/>
              <w:left w:w="100" w:type="dxa"/>
              <w:bottom w:w="90" w:type="dxa"/>
              <w:right w:w="100" w:type="dxa"/>
            </w:tcMar>
            <w:vAlign w:val="center"/>
          </w:tcPr>
          <w:p w14:paraId="5161014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1. 论文核心问题与康沃尔案例引入</w:t>
            </w:r>
          </w:p>
          <w:p w14:paraId="117A6E8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甜甜圈经济学”概念正日益受到政策制定者的关注，并有潜力将利益相关方团结在可持续发展的整体愿景周围。甜甜圈中的“安全且公正”空间是在全球范围内构建的，其基础是代表社会福祉基础的人类需求，以及反映生物物理极限的地球边界。然而，国家间和国家内部政治权力的地理划分意味着，其推动变革的能力取决于在国家和次国家层面的应用。本文考察了地方机构在将甜甜圈经济学下沉至规划、决策和领导层面时所面临的挑战；借鉴了先前将可持续治理本地化努力的更广泛文献，以帮助阐明这些挑战；并概述了支持地方治理以实现安全且公正空间的未来研究议程。这项工作源于我们与英国康沃尔郡一个地方政府合作的经验，该政府正在努力利用甜甜圈为决策和活动提供信息，我们使用这个案例研究来说明所识别的挑战。</w:t>
            </w:r>
          </w:p>
          <w:p w14:paraId="20EE652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2. 康沃尔案例的详细描述（Box 1）</w:t>
            </w:r>
          </w:p>
          <w:p w14:paraId="74AAEFD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框1 在英国康沃尔尝试甜甜圈经济学与地方治理</w:t>
            </w:r>
          </w:p>
          <w:p w14:paraId="5CBFFC2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康沃尔郡议会覆盖英格兰西南部的一个农村郡，人口分散，约50多万居民集中在小城镇周围。议会于2019年宣布气候和生态紧急状态，此后制定了实现碳中和和促进自然恢复的雄心勃勃的计划。作为这项工作的一部分，议会官员开始尝试使用甜甜圈，以便在考虑重大决策时采取整体观。议会创建了一个“决策轮”，采用交通灯系统来记录变化对21个社会和生态领域的潜在影响，这与其他版本的甜甜圈大致相似。随后，作者与议会合作进行的研究绘制了“康沃尔甜甜圈”的画像，确定了可用于评估当前状况的现有数据。结合议会发起的询问人们“我们想要什么样的康沃尔”的公众咨询，这项工作促成了一项新的战略计划——《康沃尔计划2020-50》，其目标是实现更大的社会和生态可持续性。该计划于2021年初发布，并得到了康沃尔和锡利群岛领导委员会的认可，该委员会是一个包括公共、私营和志愿部门合作伙伴在内的多方利益相关者论坛。自首次发布以来，领导委员会已进行年度审查，评估了针对甜甜圈的进展，并包括评估合作伙伴关系强度的独立研究。确保该计划实施的更深层次社区参与的必要性已被确定为未来行动的紧迫问题。我们参与在康沃尔应用甜甜圈框架的过程，阐明了本文文献综述中识别的挑战。</w:t>
            </w:r>
          </w:p>
          <w:p w14:paraId="4C3A019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代表、理解和应对复杂系统：</w:t>
            </w:r>
            <w:r>
              <w:rPr>
                <w:rFonts w:hint="eastAsia" w:asciiTheme="minorEastAsia" w:hAnsiTheme="minorEastAsia" w:eastAsiaTheme="minorEastAsia" w:cstheme="minorEastAsia"/>
                <w:i w:val="0"/>
                <w:iCs w:val="0"/>
                <w:caps w:val="0"/>
                <w:color w:val="0F1115"/>
                <w:spacing w:val="0"/>
                <w:sz w:val="21"/>
                <w:szCs w:val="21"/>
                <w:u w:val="none"/>
                <w:lang w:eastAsia="zh-CN"/>
              </w:rPr>
              <w:t>由于缺乏郡级规模的合适数据、目标和指标，以及领导委员会合作伙伴之间关于哪些指标最合适的观点冲突，确定目标和监测进展受到阻碍。许多国家数据集在地方无法获得，对于某些领域，无法确定合适的可用指标。可用的指标主要评估相对进展，而不是相对于目标或限值的变化，而地方合适的值很难确定。此外，指标可能被离散地监测，没有既定的机制来考虑地方内部或跨尺度的社会与环境领域之间的相互作用。虽然甜甜圈有助于可视化决策的潜在影响，但整合复杂的动态和相互作用需要进一步开发手段，以评估所有决策，从而确定整个康沃尔的总体和累积影响，并在必要时改变方向。然而，议会内部的决策必然是部门之间孤立的，只有薄弱的机制来形成整体观。</w:t>
            </w:r>
          </w:p>
          <w:p w14:paraId="685B12D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跨尺度的目标一致性：</w:t>
            </w:r>
            <w:r>
              <w:rPr>
                <w:rFonts w:hint="eastAsia" w:asciiTheme="minorEastAsia" w:hAnsiTheme="minorEastAsia" w:eastAsiaTheme="minorEastAsia" w:cstheme="minorEastAsia"/>
                <w:i w:val="0"/>
                <w:iCs w:val="0"/>
                <w:caps w:val="0"/>
                <w:color w:val="0F1115"/>
                <w:spacing w:val="0"/>
                <w:sz w:val="21"/>
                <w:szCs w:val="21"/>
                <w:u w:val="none"/>
                <w:lang w:eastAsia="zh-CN"/>
              </w:rPr>
              <w:t>社区活动家在2019年底促使许多政府宣布气候和生态紧急状态的环境行动主义高涨之前就推广了甜甜圈的使用。这种双重运动鼓励了议会官员和当选议员开始尝试甜甜圈，但随后的选举和COVID-19大流行的压力再次改变了政治背景，突显出在缺乏更高级别指导的情况下对政治变化的脆弱性。自2021年康沃尔选出新的政治领导层以来，先前的优先事项将不可避免地发生变化，并可能重新配置政策雄心。此外，郡内外跨尺度的联系也带来了挑战。单一管理议会覆盖整个郡，并与200多个非常地方层面的城镇和教区议会合作。确保它们拥有领导和确保全郡朝着计划目标进展的权力和能力是一个挑战。在规划等关键领域，城镇和教区议会以及郡议会也受到国家层面政策的约束。</w:t>
            </w:r>
          </w:p>
          <w:p w14:paraId="08EF4D1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驾驭权力动态、不平等和权衡：</w:t>
            </w:r>
            <w:r>
              <w:rPr>
                <w:rFonts w:hint="eastAsia" w:asciiTheme="minorEastAsia" w:hAnsiTheme="minorEastAsia" w:eastAsiaTheme="minorEastAsia" w:cstheme="minorEastAsia"/>
                <w:i w:val="0"/>
                <w:iCs w:val="0"/>
                <w:caps w:val="0"/>
                <w:color w:val="0F1115"/>
                <w:spacing w:val="0"/>
                <w:sz w:val="21"/>
                <w:szCs w:val="21"/>
                <w:u w:val="none"/>
                <w:lang w:eastAsia="zh-CN"/>
              </w:rPr>
              <w:t>全郡范围的甜甜圈画像有可能掩盖康沃尔内部巨大的财富分化，同时缺乏城镇和教区层面的数据，使得难以识别和监测特定的关注领域。为了促进识别和辩论跨部门潜在权衡所需的对话，需要确保参与实现《康沃尔计划》不同目标的公共、私营和志愿部门组织之间的共同所有权和协调领导。这需要在合作伙伴之间培养信任；考虑计划的目标如何与现有战略、目标和工作方式保持一致；并建立机构记忆。随着《康沃尔计划》的制定，现在还需要加强有效的利益相关者参与，以一种吸引广泛组织、企业、民间社会团体和对其实施有兴趣的公民的方式传达计划的愿景，确保他们的声音被听到；建立更广泛的行动势头和能力；并为艰难决策的审议创造空间。这将给政治家和民选官员带来重大风险，因为他们的决策需要公开辩论，存在失去对计划控制的风险，因为计划必须反映更广泛的声音和提出的新想法。然而，认识到动员民间社会能力实现计划目标的潜力，领导委员会已承诺更广泛的参与，以支持确定共同行动的短期优先事项。除了确保这些过程中广泛代表性的挑战外，更广泛的参与还意味着需要应对权力动态和既得利益。</w:t>
            </w:r>
          </w:p>
          <w:p w14:paraId="5F6CB2D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3. 论文识别的三大核心挑战</w:t>
            </w:r>
          </w:p>
          <w:p w14:paraId="68167D6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我们对文献的回顾以及对将这种方法应用于英国康沃尔地方治理的经验的反思，突显了将甜甜圈下沉到次国家尺度所涉及的三个主要挑战。每一个挑战都包含了在其他地方化可持续发展治理努力评估中发现的问题，以及下沉全球模型所特有的问题。</w:t>
            </w:r>
          </w:p>
          <w:p w14:paraId="41D5F6A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第一，代表、理解和应对复杂系统。</w:t>
            </w:r>
            <w:r>
              <w:rPr>
                <w:rFonts w:hint="eastAsia" w:asciiTheme="minorEastAsia" w:hAnsiTheme="minorEastAsia" w:eastAsiaTheme="minorEastAsia" w:cstheme="minorEastAsia"/>
                <w:i w:val="0"/>
                <w:iCs w:val="0"/>
                <w:caps w:val="0"/>
                <w:color w:val="0F1115"/>
                <w:spacing w:val="0"/>
                <w:sz w:val="21"/>
                <w:szCs w:val="21"/>
                <w:u w:val="none"/>
                <w:lang w:eastAsia="zh-CN"/>
              </w:rPr>
              <w:t> 将甜甜圈下沉可能需要对跨尺度连接性给予更多关注，这比过去地方可持续发展治理方法所要求的更多。下沉全球模型的任务加剧了围绕目标设定、指标选择、数据可用性和持续监测的既有挑战，因为它需要目标设定建立在对特定情境的社会和生态趋势以及它们如何相互作用以影响地方和全球结果的理解之上。在纳入探索地方活动在多大程度上导致全球趋势和问题的负担分担方法时，存在特别的复杂性。在实践中，由于数据匮乏、科学不确定性、机构合法性薄弱以及需要考虑地方敏感的问题和解决方案，这可能并不可行。</w:t>
            </w:r>
          </w:p>
          <w:p w14:paraId="4864C99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第二，跨尺度的目标一致性。</w:t>
            </w:r>
            <w:r>
              <w:rPr>
                <w:rFonts w:hint="eastAsia" w:asciiTheme="minorEastAsia" w:hAnsiTheme="minorEastAsia" w:eastAsiaTheme="minorEastAsia" w:cstheme="minorEastAsia"/>
                <w:i w:val="0"/>
                <w:iCs w:val="0"/>
                <w:caps w:val="0"/>
                <w:color w:val="0F1115"/>
                <w:spacing w:val="0"/>
                <w:sz w:val="21"/>
                <w:szCs w:val="21"/>
                <w:u w:val="none"/>
                <w:lang w:eastAsia="zh-CN"/>
              </w:rPr>
              <w:t> 全球、区域和地方议程之间的一致性对于激励行动者和机构非常重要。全球机构可以帮助推动跨尺度的“行动一致性”，鼓励利益相关方认同共同目标、设定优先事项、分配资源、建立或修改机构以及促进实施。然而，由于地球边界的概念优先考虑科学专业知识并且主要在学术辩论中讨论，而甜甜圈通常吸引国家或次国家层面的政策制定者和实践者，两者都没有像联合国在可持续发展目标中那样获得跨空间尺度的牵引力。如果没有跨尺度的一致性，地方行动可能会被更广泛的经济和政治系统所挫败。地方政府可能对规划过程等重要问题几乎没有控制权，即使政治权力已下放到其他事务上。</w:t>
            </w:r>
          </w:p>
          <w:p w14:paraId="5D95E2D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第三，驾驭权力动态、不平等和权衡。</w:t>
            </w:r>
            <w:r>
              <w:rPr>
                <w:rFonts w:hint="eastAsia" w:asciiTheme="minorEastAsia" w:hAnsiTheme="minorEastAsia" w:eastAsiaTheme="minorEastAsia" w:cstheme="minorEastAsia"/>
                <w:i w:val="0"/>
                <w:iCs w:val="0"/>
                <w:caps w:val="0"/>
                <w:color w:val="0F1115"/>
                <w:spacing w:val="0"/>
                <w:sz w:val="21"/>
                <w:szCs w:val="21"/>
                <w:u w:val="none"/>
                <w:lang w:eastAsia="zh-CN"/>
              </w:rPr>
              <w:t> 朝着安全且公正的空间迈进涉及社会与环境目标之间的艰难选择，这意味着地方治理机构需要应对困难的权衡。虽然可持续发展的基础愿景本身就隐含着潜在的权衡，但政策制定者仍在努力避免孤立的决策，并系统地理解可持续发展各个方面之间的相互作用。将甜甜圈背后的雄心转化为地方行动本质上是政治性的，因为它要求社会和经济转变，这意味着权力和资源的重大重新分配。批判性社会科学研究强调需要支撑此类决策过程的原则，确保可持续发展的治理是透明、负责任和响应迅速的，特别是对那些被边缘化的人。</w:t>
            </w:r>
          </w:p>
          <w:p w14:paraId="5A2D500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4. 论文结论</w:t>
            </w:r>
          </w:p>
          <w:p w14:paraId="0BB8103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虽然甜甜圈为振兴可持续发展提供了新方法的前景，但关于地方治理机构支持这一方法的潜力问题尚未得到充分研究。我们的综述确定了将甜甜圈下沉的三个关键挑战：代表、理解和应对复杂系统；跨尺度的目标一致性；以及艰难的决策和权衡。将甜甜圈下沉加剧了这些挑战，同时反映了治理研究中长期存在的问题（如与能力、公众参与和利益冲突相关的问题）。这些挑战是巨大的，但解决它们对于实现可持续发展的进展至关重要，而甜甜圈可能提供了一个强有力的愿景，以激励这方面的地方行动。</w:t>
            </w:r>
          </w:p>
        </w:tc>
      </w:tr>
      <w:tr w14:paraId="40D31C88">
        <w:trPr>
          <w:jc w:val="center"/>
        </w:trPr>
        <w:tc>
          <w:tcPr>
            <w:tcW w:w="2268" w:type="dxa"/>
            <w:shd w:val="clear" w:color="auto" w:fill="EAF2F8"/>
            <w:tcMar>
              <w:top w:w="90" w:type="dxa"/>
              <w:left w:w="100" w:type="dxa"/>
              <w:bottom w:w="90" w:type="dxa"/>
              <w:right w:w="100" w:type="dxa"/>
            </w:tcMar>
            <w:vAlign w:val="center"/>
          </w:tcPr>
          <w:p w14:paraId="7BFCB6D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你的判断</w:t>
            </w:r>
          </w:p>
        </w:tc>
        <w:tc>
          <w:tcPr>
            <w:tcW w:w="6350" w:type="dxa"/>
            <w:tcMar>
              <w:top w:w="90" w:type="dxa"/>
              <w:left w:w="100" w:type="dxa"/>
              <w:bottom w:w="90" w:type="dxa"/>
              <w:right w:w="100" w:type="dxa"/>
            </w:tcMar>
            <w:vAlign w:val="center"/>
          </w:tcPr>
          <w:p w14:paraId="6D2BBD8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是否可用于论文：</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核心文献  □辅助文献  □备用资料</w:t>
            </w:r>
            <w:r>
              <w:rPr>
                <w:rFonts w:hint="eastAsia" w:asciiTheme="minorEastAsia" w:hAnsiTheme="minorEastAsia" w:eastAsiaTheme="minorEastAsia" w:cstheme="minorEastAsia"/>
                <w:i w:val="0"/>
                <w:iCs w:val="0"/>
                <w:caps w:val="0"/>
                <w:color w:val="0F1115"/>
                <w:spacing w:val="0"/>
                <w:sz w:val="21"/>
                <w:szCs w:val="21"/>
                <w:u w:val="none"/>
                <w:lang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eastAsia="zh-CN"/>
              </w:rPr>
              <w:t>可信度：</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高  □中  □低</w:t>
            </w:r>
          </w:p>
        </w:tc>
      </w:tr>
    </w:tbl>
    <w:p w14:paraId="7248DEF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 xml:space="preserve">文献 </w:t>
      </w:r>
      <w:r>
        <w:rPr>
          <w:rFonts w:hint="eastAsia" w:asciiTheme="minorEastAsia" w:hAnsiTheme="minorEastAsia" w:eastAsiaTheme="minorEastAsia" w:cstheme="minorEastAsia"/>
          <w:i w:val="0"/>
          <w:iCs w:val="0"/>
          <w:caps w:val="0"/>
          <w:color w:val="0F1115"/>
          <w:spacing w:val="0"/>
          <w:sz w:val="21"/>
          <w:szCs w:val="21"/>
          <w:u w:val="none"/>
          <w:lang w:val="en-US" w:eastAsia="zh-CN"/>
        </w:rPr>
        <w:t>2</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9"/>
        <w:gridCol w:w="6287"/>
      </w:tblGrid>
      <w:tr w14:paraId="721982AD">
        <w:trPr>
          <w:jc w:val="center"/>
        </w:trPr>
        <w:tc>
          <w:tcPr>
            <w:tcW w:w="2268" w:type="dxa"/>
            <w:shd w:val="clear" w:color="auto" w:fill="EAF2F8"/>
            <w:tcMar>
              <w:top w:w="90" w:type="dxa"/>
              <w:left w:w="100" w:type="dxa"/>
              <w:bottom w:w="90" w:type="dxa"/>
              <w:right w:w="100" w:type="dxa"/>
            </w:tcMar>
            <w:vAlign w:val="center"/>
          </w:tcPr>
          <w:p w14:paraId="70CE1D5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文献题目</w:t>
            </w:r>
          </w:p>
        </w:tc>
        <w:tc>
          <w:tcPr>
            <w:tcW w:w="6350" w:type="dxa"/>
            <w:tcMar>
              <w:top w:w="90" w:type="dxa"/>
              <w:left w:w="100" w:type="dxa"/>
              <w:bottom w:w="90" w:type="dxa"/>
              <w:right w:w="100" w:type="dxa"/>
            </w:tcMar>
            <w:vAlign w:val="center"/>
          </w:tcPr>
          <w:p w14:paraId="4AF98A4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The Cornwall Plan 2020 - 2050 | Together We Can</w:t>
            </w:r>
          </w:p>
        </w:tc>
      </w:tr>
      <w:tr w14:paraId="12B5BFC1">
        <w:trPr>
          <w:jc w:val="center"/>
        </w:trPr>
        <w:tc>
          <w:tcPr>
            <w:tcW w:w="2268" w:type="dxa"/>
            <w:shd w:val="clear" w:color="auto" w:fill="EAF2F8"/>
            <w:tcMar>
              <w:top w:w="90" w:type="dxa"/>
              <w:left w:w="100" w:type="dxa"/>
              <w:bottom w:w="90" w:type="dxa"/>
              <w:right w:w="100" w:type="dxa"/>
            </w:tcMar>
            <w:vAlign w:val="center"/>
          </w:tcPr>
          <w:p w14:paraId="017F060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作者/机构</w:t>
            </w:r>
          </w:p>
        </w:tc>
        <w:tc>
          <w:tcPr>
            <w:tcW w:w="6350" w:type="dxa"/>
            <w:tcMar>
              <w:top w:w="90" w:type="dxa"/>
              <w:left w:w="100" w:type="dxa"/>
              <w:bottom w:w="90" w:type="dxa"/>
              <w:right w:w="100" w:type="dxa"/>
            </w:tcMar>
            <w:vAlign w:val="center"/>
          </w:tcPr>
          <w:p w14:paraId="7260BB5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Cornwall Council (康沃尔郡议会) / Cornwall and Isles of Scilly (CIOS) Leadership Board (康沃尔和锡利群岛领导委员会)</w:t>
            </w:r>
          </w:p>
        </w:tc>
      </w:tr>
      <w:tr w14:paraId="6DAB6720">
        <w:trPr>
          <w:jc w:val="center"/>
        </w:trPr>
        <w:tc>
          <w:tcPr>
            <w:tcW w:w="2268" w:type="dxa"/>
            <w:shd w:val="clear" w:color="auto" w:fill="EAF2F8"/>
            <w:tcMar>
              <w:top w:w="90" w:type="dxa"/>
              <w:left w:w="100" w:type="dxa"/>
              <w:bottom w:w="90" w:type="dxa"/>
              <w:right w:w="100" w:type="dxa"/>
            </w:tcMar>
            <w:vAlign w:val="center"/>
          </w:tcPr>
          <w:p w14:paraId="797638F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来源类型</w:t>
            </w:r>
          </w:p>
        </w:tc>
        <w:tc>
          <w:tcPr>
            <w:tcW w:w="6350" w:type="dxa"/>
            <w:tcMar>
              <w:top w:w="90" w:type="dxa"/>
              <w:left w:w="100" w:type="dxa"/>
              <w:bottom w:w="90" w:type="dxa"/>
              <w:right w:w="100" w:type="dxa"/>
            </w:tcMar>
            <w:vAlign w:val="center"/>
          </w:tcPr>
          <w:p w14:paraId="44283DC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官方政策/战略规划文件</w:t>
            </w:r>
          </w:p>
        </w:tc>
      </w:tr>
      <w:tr w14:paraId="3575C33A">
        <w:trPr>
          <w:jc w:val="center"/>
        </w:trPr>
        <w:tc>
          <w:tcPr>
            <w:tcW w:w="2268" w:type="dxa"/>
            <w:shd w:val="clear" w:color="auto" w:fill="EAF2F8"/>
            <w:tcMar>
              <w:top w:w="90" w:type="dxa"/>
              <w:left w:w="100" w:type="dxa"/>
              <w:bottom w:w="90" w:type="dxa"/>
              <w:right w:w="100" w:type="dxa"/>
            </w:tcMar>
            <w:vAlign w:val="center"/>
          </w:tcPr>
          <w:p w14:paraId="4876433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链接或数据库</w:t>
            </w:r>
          </w:p>
        </w:tc>
        <w:tc>
          <w:tcPr>
            <w:tcW w:w="6350" w:type="dxa"/>
            <w:tcMar>
              <w:top w:w="90" w:type="dxa"/>
              <w:left w:w="100" w:type="dxa"/>
              <w:bottom w:w="90" w:type="dxa"/>
              <w:right w:w="100" w:type="dxa"/>
            </w:tcMar>
            <w:vAlign w:val="center"/>
          </w:tcPr>
          <w:p w14:paraId="28FDE71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https://letstalk.cornwall.gov.uk/cornwall-plan</w:t>
            </w:r>
          </w:p>
        </w:tc>
      </w:tr>
      <w:tr w14:paraId="3487CC14">
        <w:trPr>
          <w:jc w:val="center"/>
        </w:trPr>
        <w:tc>
          <w:tcPr>
            <w:tcW w:w="2268" w:type="dxa"/>
            <w:shd w:val="clear" w:color="auto" w:fill="EAF2F8"/>
            <w:tcMar>
              <w:top w:w="90" w:type="dxa"/>
              <w:left w:w="100" w:type="dxa"/>
              <w:bottom w:w="90" w:type="dxa"/>
              <w:right w:w="100" w:type="dxa"/>
            </w:tcMar>
            <w:vAlign w:val="center"/>
          </w:tcPr>
          <w:p w14:paraId="6275D5D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发布时间</w:t>
            </w:r>
          </w:p>
        </w:tc>
        <w:tc>
          <w:tcPr>
            <w:tcW w:w="6350" w:type="dxa"/>
            <w:tcMar>
              <w:top w:w="90" w:type="dxa"/>
              <w:left w:w="100" w:type="dxa"/>
              <w:bottom w:w="90" w:type="dxa"/>
              <w:right w:w="100" w:type="dxa"/>
            </w:tcMar>
            <w:vAlign w:val="center"/>
          </w:tcPr>
          <w:p w14:paraId="53B4B9B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2020年</w:t>
            </w:r>
          </w:p>
        </w:tc>
      </w:tr>
      <w:tr w14:paraId="04BF4F74">
        <w:trPr>
          <w:jc w:val="center"/>
        </w:trPr>
        <w:tc>
          <w:tcPr>
            <w:tcW w:w="2268" w:type="dxa"/>
            <w:shd w:val="clear" w:color="auto" w:fill="EAF2F8"/>
            <w:tcMar>
              <w:top w:w="90" w:type="dxa"/>
              <w:left w:w="100" w:type="dxa"/>
              <w:bottom w:w="90" w:type="dxa"/>
              <w:right w:w="100" w:type="dxa"/>
            </w:tcMar>
            <w:vAlign w:val="center"/>
          </w:tcPr>
          <w:p w14:paraId="198E6C4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为什么值得收集</w:t>
            </w:r>
          </w:p>
        </w:tc>
        <w:tc>
          <w:tcPr>
            <w:tcW w:w="6350" w:type="dxa"/>
            <w:tcMar>
              <w:top w:w="90" w:type="dxa"/>
              <w:left w:w="100" w:type="dxa"/>
              <w:bottom w:w="90" w:type="dxa"/>
              <w:right w:w="100" w:type="dxa"/>
            </w:tcMar>
            <w:vAlign w:val="center"/>
          </w:tcPr>
          <w:p w14:paraId="2F4E8B2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该文件是康沃尔郡采纳“甜甜圈经济学”作为官方发展框架的顶层战略规划，直接证明了甜甜圈模型从理论走向地方治理实践。它明确了康沃尔郡议会以“决策轮”工具落实社会与生态双重目标，并提供了2020至2050年的长期行动纲领，是回答“为什么采用、做了什么、推进到哪一步”的核心一手证据。</w:t>
            </w:r>
          </w:p>
        </w:tc>
      </w:tr>
      <w:tr w14:paraId="13F45700">
        <w:trPr>
          <w:jc w:val="center"/>
        </w:trPr>
        <w:tc>
          <w:tcPr>
            <w:tcW w:w="2268" w:type="dxa"/>
            <w:shd w:val="clear" w:color="auto" w:fill="EAF2F8"/>
            <w:tcMar>
              <w:top w:w="90" w:type="dxa"/>
              <w:left w:w="100" w:type="dxa"/>
              <w:bottom w:w="90" w:type="dxa"/>
              <w:right w:w="100" w:type="dxa"/>
            </w:tcMar>
            <w:vAlign w:val="center"/>
          </w:tcPr>
          <w:p w14:paraId="466DCD8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原文</w:t>
            </w:r>
          </w:p>
        </w:tc>
        <w:tc>
          <w:tcPr>
            <w:tcW w:w="6350" w:type="dxa"/>
            <w:tcMar>
              <w:top w:w="90" w:type="dxa"/>
              <w:left w:w="100" w:type="dxa"/>
              <w:bottom w:w="90" w:type="dxa"/>
              <w:right w:w="100" w:type="dxa"/>
            </w:tcMar>
            <w:vAlign w:val="center"/>
          </w:tcPr>
          <w:p w14:paraId="2028BE7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In December 2020, the </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begin"/>
            </w:r>
            <w:r>
              <w:rPr>
                <w:rFonts w:hint="eastAsia" w:asciiTheme="minorEastAsia" w:hAnsiTheme="minorEastAsia" w:eastAsiaTheme="minorEastAsia" w:cstheme="minorEastAsia"/>
                <w:i w:val="0"/>
                <w:iCs w:val="0"/>
                <w:caps w:val="0"/>
                <w:color w:val="0F1115"/>
                <w:spacing w:val="0"/>
                <w:sz w:val="21"/>
                <w:szCs w:val="21"/>
                <w:u w:val="none"/>
                <w:lang w:eastAsia="zh-CN"/>
              </w:rPr>
              <w:instrText xml:space="preserve"> HYPERLINK "https://www.cornwall.gov.uk/the-council-and-democracy/cornwall-and-isles-of-scilly-leadership-board/" \t "/Users/yuzile/Documents\\x/_blank" </w:instrTex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eastAsia" w:asciiTheme="minorEastAsia" w:hAnsiTheme="minorEastAsia" w:eastAsiaTheme="minorEastAsia" w:cstheme="minorEastAsia"/>
                <w:i w:val="0"/>
                <w:iCs w:val="0"/>
                <w:caps w:val="0"/>
                <w:color w:val="0F1115"/>
                <w:spacing w:val="0"/>
                <w:sz w:val="21"/>
                <w:szCs w:val="21"/>
                <w:u w:val="none"/>
                <w:lang w:eastAsia="zh-CN"/>
              </w:rPr>
              <w:t>Cornwall and Isles of Scilly Leadership Board</w:t>
            </w:r>
            <w:r>
              <w:rPr>
                <w:rFonts w:hint="eastAsia" w:asciiTheme="minorEastAsia" w:hAnsiTheme="minorEastAsia" w:eastAsiaTheme="minorEastAsia" w:cstheme="minorEastAsia"/>
                <w:i w:val="0"/>
                <w:iCs w:val="0"/>
                <w:caps w:val="0"/>
                <w:color w:val="0F1115"/>
                <w:spacing w:val="0"/>
                <w:sz w:val="21"/>
                <w:szCs w:val="21"/>
                <w:u w:val="none"/>
                <w:lang w:eastAsia="zh-CN"/>
              </w:rPr>
              <w:t>(External link)</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end"/>
            </w:r>
            <w:r>
              <w:rPr>
                <w:rFonts w:hint="eastAsia" w:asciiTheme="minorEastAsia" w:hAnsiTheme="minorEastAsia" w:eastAsiaTheme="minorEastAsia" w:cstheme="minorEastAsia"/>
                <w:i w:val="0"/>
                <w:iCs w:val="0"/>
                <w:caps w:val="0"/>
                <w:color w:val="0F1115"/>
                <w:spacing w:val="0"/>
                <w:sz w:val="21"/>
                <w:szCs w:val="21"/>
                <w:u w:val="none"/>
                <w:lang w:eastAsia="zh-CN"/>
              </w:rPr>
              <w:t> adopted the Cornwall Plan. The Cornwall Plan is the Cornwall and Isles of Scilly (CIOS) Leadership Board’s shared vision for Cornwall. It is a roadmap to deliver a greener, cleaner Cornwall that is fairer and more inclusive.</w:t>
            </w:r>
          </w:p>
          <w:p w14:paraId="260D5E0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Cornwall Plan sets ambitious goals for Cornwall’s future, set out under six aims</w:t>
            </w:r>
          </w:p>
          <w:p w14:paraId="45E1AF5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1: Creative, Net Zero Economy</w:t>
            </w:r>
          </w:p>
          <w:p w14:paraId="6DC8943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2: Sustainable Food, Land and Seas</w:t>
            </w:r>
          </w:p>
          <w:p w14:paraId="4CF533E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3: Thriving Places with Decent, Affordable Homes</w:t>
            </w:r>
          </w:p>
          <w:p w14:paraId="115FB6B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4: Equality, Education and Entrepreneurship</w:t>
            </w:r>
          </w:p>
          <w:p w14:paraId="381369F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5: Safe, Healthy, Resilient Communities</w:t>
            </w:r>
          </w:p>
          <w:p w14:paraId="1626A57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6: A Digital Revolution for Sustainable Living</w:t>
            </w:r>
          </w:p>
          <w:p w14:paraId="796E093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To drive our delivery and galvanise our partnership working against these aims, six Strategic Convenors were appointed in 2024. Strategic Conveners will report back to the Leadership Board on a regular basis, link to view the Leadership Board meetings where this will be discussed can be found </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begin"/>
            </w:r>
            <w:r>
              <w:rPr>
                <w:rFonts w:hint="eastAsia" w:asciiTheme="minorEastAsia" w:hAnsiTheme="minorEastAsia" w:eastAsiaTheme="minorEastAsia" w:cstheme="minorEastAsia"/>
                <w:i w:val="0"/>
                <w:iCs w:val="0"/>
                <w:caps w:val="0"/>
                <w:color w:val="0F1115"/>
                <w:spacing w:val="0"/>
                <w:sz w:val="21"/>
                <w:szCs w:val="21"/>
                <w:u w:val="none"/>
                <w:lang w:eastAsia="zh-CN"/>
              </w:rPr>
              <w:instrText xml:space="preserve"> HYPERLINK "https://democracy.cornwall.gov.uk/ieListMeetings.aspx?CId=1237&amp;Year=0" \t "/Users/yuzile/Documents\\x/_blank" </w:instrTex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eastAsia" w:asciiTheme="minorEastAsia" w:hAnsiTheme="minorEastAsia" w:eastAsiaTheme="minorEastAsia" w:cstheme="minorEastAsia"/>
                <w:i w:val="0"/>
                <w:iCs w:val="0"/>
                <w:caps w:val="0"/>
                <w:color w:val="0F1115"/>
                <w:spacing w:val="0"/>
                <w:sz w:val="21"/>
                <w:szCs w:val="21"/>
                <w:u w:val="none"/>
                <w:lang w:eastAsia="zh-CN"/>
              </w:rPr>
              <w:t>here</w:t>
            </w:r>
            <w:r>
              <w:rPr>
                <w:rFonts w:hint="eastAsia" w:asciiTheme="minorEastAsia" w:hAnsiTheme="minorEastAsia" w:eastAsiaTheme="minorEastAsia" w:cstheme="minorEastAsia"/>
                <w:i w:val="0"/>
                <w:iCs w:val="0"/>
                <w:caps w:val="0"/>
                <w:color w:val="0F1115"/>
                <w:spacing w:val="0"/>
                <w:sz w:val="21"/>
                <w:szCs w:val="21"/>
                <w:u w:val="none"/>
                <w:lang w:eastAsia="zh-CN"/>
              </w:rPr>
              <w:t>(External link)</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end"/>
            </w:r>
            <w:r>
              <w:rPr>
                <w:rFonts w:hint="eastAsia" w:asciiTheme="minorEastAsia" w:hAnsiTheme="minorEastAsia" w:eastAsiaTheme="minorEastAsia" w:cstheme="minorEastAsia"/>
                <w:i w:val="0"/>
                <w:iCs w:val="0"/>
                <w:caps w:val="0"/>
                <w:color w:val="0F1115"/>
                <w:spacing w:val="0"/>
                <w:sz w:val="21"/>
                <w:szCs w:val="21"/>
                <w:u w:val="none"/>
                <w:lang w:eastAsia="zh-CN"/>
              </w:rPr>
              <w:t>.</w:t>
            </w:r>
          </w:p>
          <w:p w14:paraId="55EA5EE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Refresh</w:t>
            </w:r>
          </w:p>
          <w:p w14:paraId="2930AA5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Since 2020, the CIOS Leadership Board has been committed to work together to deliver the Cornwall Plan and review progress each year. There has been real strength in Cornwall’s partnership approach. The Annual Reviews and the accompanying dashboard have become more sophisticated with every iteration. However, the Cornwall Plan had not been updated since it was first published in 2020. In 2023, the CIOS Leadership Board decided it was time for a refresh to ensure the course we are steering continues to be the right one. A number of adjustments were made to reflect the changing nature of the context we are in and the challenges we face.</w:t>
            </w:r>
          </w:p>
          <w:p w14:paraId="2BF7CA6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begin"/>
            </w:r>
            <w:r>
              <w:rPr>
                <w:rFonts w:hint="eastAsia" w:asciiTheme="minorEastAsia" w:hAnsiTheme="minorEastAsia" w:eastAsiaTheme="minorEastAsia" w:cstheme="minorEastAsia"/>
                <w:i w:val="0"/>
                <w:iCs w:val="0"/>
                <w:caps w:val="0"/>
                <w:color w:val="0F1115"/>
                <w:spacing w:val="0"/>
                <w:sz w:val="21"/>
                <w:szCs w:val="21"/>
                <w:u w:val="none"/>
                <w:lang w:eastAsia="zh-CN"/>
              </w:rPr>
              <w:instrText xml:space="preserve"> HYPERLINK "https://letstalk.cornwall.gov.uk/15127/widgets/44041/documents/53447" \t "/Users/yuzile/Documents\\x/_blank" </w:instrTex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eastAsia" w:asciiTheme="minorEastAsia" w:hAnsiTheme="minorEastAsia" w:eastAsiaTheme="minorEastAsia" w:cstheme="minorEastAsia"/>
                <w:i w:val="0"/>
                <w:iCs w:val="0"/>
                <w:caps w:val="0"/>
                <w:color w:val="0F1115"/>
                <w:spacing w:val="0"/>
                <w:sz w:val="21"/>
                <w:szCs w:val="21"/>
                <w:u w:val="none"/>
                <w:lang w:eastAsia="zh-CN"/>
              </w:rPr>
              <w:t>refreshed Cornwall Plan</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end"/>
            </w:r>
            <w:r>
              <w:rPr>
                <w:rFonts w:hint="eastAsia" w:asciiTheme="minorEastAsia" w:hAnsiTheme="minorEastAsia" w:eastAsiaTheme="minorEastAsia" w:cstheme="minorEastAsia"/>
                <w:i w:val="0"/>
                <w:iCs w:val="0"/>
                <w:caps w:val="0"/>
                <w:color w:val="0F1115"/>
                <w:spacing w:val="0"/>
                <w:sz w:val="21"/>
                <w:szCs w:val="21"/>
                <w:u w:val="none"/>
                <w:lang w:eastAsia="zh-CN"/>
              </w:rPr>
              <w:t> can be found here.</w:t>
            </w:r>
          </w:p>
          <w:p w14:paraId="4AED415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Annual Reviews</w:t>
            </w:r>
          </w:p>
          <w:p w14:paraId="6797833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Cornwall Plan is a tool for partners to come together in a meaningful way and grapple with Cornwall’s future. The Leadership Board has committed to review progress on the Cornwall Plan each year. It is an opportunity to reflect on where we are now and where we want to go. Supporting detail can be found in the accompanying dashboards, found at the bottom of this page. An Annual Review has been conducted every year since 2021.</w:t>
            </w:r>
          </w:p>
          <w:p w14:paraId="78366E0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Doughnut economics</w:t>
            </w:r>
          </w:p>
          <w:p w14:paraId="0FA275D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Cornwall Plan includes a Cornwall Doughnut to measure progress towards the outcomes we want, which is modelled on </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begin"/>
            </w:r>
            <w:r>
              <w:rPr>
                <w:rFonts w:hint="eastAsia" w:asciiTheme="minorEastAsia" w:hAnsiTheme="minorEastAsia" w:eastAsiaTheme="minorEastAsia" w:cstheme="minorEastAsia"/>
                <w:i w:val="0"/>
                <w:iCs w:val="0"/>
                <w:caps w:val="0"/>
                <w:color w:val="0F1115"/>
                <w:spacing w:val="0"/>
                <w:sz w:val="21"/>
                <w:szCs w:val="21"/>
                <w:u w:val="none"/>
                <w:lang w:eastAsia="zh-CN"/>
              </w:rPr>
              <w:instrText xml:space="preserve"> HYPERLINK "https://www.cornwall.gov.uk/people-and-communities/equality-and-diversity/assessing-the-impact-of-our-decisions/" \t "/Users/yuzile/Documents\\x/_blank" </w:instrTex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eastAsia" w:asciiTheme="minorEastAsia" w:hAnsiTheme="minorEastAsia" w:eastAsiaTheme="minorEastAsia" w:cstheme="minorEastAsia"/>
                <w:i w:val="0"/>
                <w:iCs w:val="0"/>
                <w:caps w:val="0"/>
                <w:color w:val="0F1115"/>
                <w:spacing w:val="0"/>
                <w:sz w:val="21"/>
                <w:szCs w:val="21"/>
                <w:u w:val="none"/>
                <w:lang w:eastAsia="zh-CN"/>
              </w:rPr>
              <w:t>Cornwall Council’s Development and Decision Wheel(External link)</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end"/>
            </w:r>
            <w:r>
              <w:rPr>
                <w:rFonts w:hint="eastAsia" w:asciiTheme="minorEastAsia" w:hAnsiTheme="minorEastAsia" w:eastAsiaTheme="minorEastAsia" w:cstheme="minorEastAsia"/>
                <w:i w:val="0"/>
                <w:iCs w:val="0"/>
                <w:caps w:val="0"/>
                <w:color w:val="0F1115"/>
                <w:spacing w:val="0"/>
                <w:sz w:val="21"/>
                <w:szCs w:val="21"/>
                <w:u w:val="none"/>
                <w:lang w:eastAsia="zh-CN"/>
              </w:rPr>
              <w:t> and rooted in Kate Raworth’</w:t>
            </w:r>
            <w:r>
              <w:rPr>
                <w:rFonts w:hint="eastAsia" w:asciiTheme="minorEastAsia" w:hAnsiTheme="minorEastAsia" w:eastAsiaTheme="minorEastAsia" w:cstheme="minorEastAsia"/>
                <w:i w:val="0"/>
                <w:iCs w:val="0"/>
                <w:caps w:val="0"/>
                <w:color w:val="0F1115"/>
                <w:spacing w:val="0"/>
                <w:sz w:val="21"/>
                <w:szCs w:val="21"/>
                <w:u w:val="none"/>
                <w:lang w:eastAsia="zh-CN"/>
              </w:rPr>
              <w:t>s</w:t>
            </w:r>
            <w:r>
              <w:rPr>
                <w:rFonts w:hint="eastAsia" w:asciiTheme="minorEastAsia" w:hAnsiTheme="minorEastAsia" w:eastAsiaTheme="minorEastAsia" w:cstheme="minorEastAsia"/>
                <w:i w:val="0"/>
                <w:iCs w:val="0"/>
                <w:caps w:val="0"/>
                <w:color w:val="0F1115"/>
                <w:spacing w:val="0"/>
                <w:sz w:val="21"/>
                <w:szCs w:val="21"/>
                <w:u w:val="none"/>
                <w:lang w:eastAsia="zh-CN"/>
              </w:rPr>
              <w:t> </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begin"/>
            </w:r>
            <w:r>
              <w:rPr>
                <w:rFonts w:hint="eastAsia" w:asciiTheme="minorEastAsia" w:hAnsiTheme="minorEastAsia" w:eastAsiaTheme="minorEastAsia" w:cstheme="minorEastAsia"/>
                <w:i w:val="0"/>
                <w:iCs w:val="0"/>
                <w:caps w:val="0"/>
                <w:color w:val="0F1115"/>
                <w:spacing w:val="0"/>
                <w:sz w:val="21"/>
                <w:szCs w:val="21"/>
                <w:u w:val="none"/>
                <w:lang w:eastAsia="zh-CN"/>
              </w:rPr>
              <w:instrText xml:space="preserve"> HYPERLINK "https://doughnuteconomics.org/about-doughnut-economics" \t "/Users/yuzile/Documents\\x/_blank" </w:instrTex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eastAsia" w:asciiTheme="minorEastAsia" w:hAnsiTheme="minorEastAsia" w:eastAsiaTheme="minorEastAsia" w:cstheme="minorEastAsia"/>
                <w:i w:val="0"/>
                <w:iCs w:val="0"/>
                <w:caps w:val="0"/>
                <w:color w:val="0F1115"/>
                <w:spacing w:val="0"/>
                <w:sz w:val="21"/>
                <w:szCs w:val="21"/>
                <w:u w:val="none"/>
                <w:lang w:eastAsia="zh-CN"/>
              </w:rPr>
              <w:t>Doughnut Economics.(External link)</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end"/>
            </w:r>
            <w:r>
              <w:rPr>
                <w:rFonts w:hint="eastAsia" w:asciiTheme="minorEastAsia" w:hAnsiTheme="minorEastAsia" w:eastAsiaTheme="minorEastAsia" w:cstheme="minorEastAsia"/>
                <w:i w:val="0"/>
                <w:iCs w:val="0"/>
                <w:caps w:val="0"/>
                <w:color w:val="0F1115"/>
                <w:spacing w:val="0"/>
                <w:sz w:val="21"/>
                <w:szCs w:val="21"/>
                <w:u w:val="none"/>
                <w:lang w:eastAsia="zh-CN"/>
              </w:rPr>
              <w:t> </w:t>
            </w:r>
            <w:r>
              <w:rPr>
                <w:rFonts w:hint="eastAsia" w:asciiTheme="minorEastAsia" w:hAnsiTheme="minorEastAsia" w:eastAsiaTheme="minorEastAsia" w:cstheme="minorEastAsia"/>
                <w:i w:val="0"/>
                <w:iCs w:val="0"/>
                <w:caps w:val="0"/>
                <w:color w:val="0F1115"/>
                <w:spacing w:val="0"/>
                <w:sz w:val="21"/>
                <w:szCs w:val="21"/>
                <w:u w:val="none"/>
                <w:lang w:eastAsia="zh-CN"/>
              </w:rPr>
              <w:t>It provides a holistic snapshot of Cornwall and shows how the Cornwall Plan is performing against the Doughnut’s social (fairer, more inclusive Cornwall) and planetary (greener, cleaner Cornwall) boundaries.</w:t>
            </w:r>
          </w:p>
          <w:p w14:paraId="5DDAEDD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Cornwall Doughnut offers a brief snapshot of where we are in each area, using the outcomes set in the Cornwall Plan. The Cornwall Plan Doughnut is not a comprehensive assessment of Cornwall, it serves as a starting point for big-picture thinking, co-creative innovation and systemic transformation. The Doughnut will support the Strategic Convenors in seeking holistic reflection on Cornwall’s ambitions and drive meaningful change.</w:t>
            </w:r>
          </w:p>
          <w:p w14:paraId="283528F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Short-Term Actions</w:t>
            </w:r>
            <w:r>
              <w:rPr>
                <w:rFonts w:hint="eastAsia" w:asciiTheme="minorEastAsia" w:hAnsiTheme="minorEastAsia" w:eastAsiaTheme="minorEastAsia" w:cstheme="minorEastAsia"/>
                <w:i w:val="0"/>
                <w:iCs w:val="0"/>
                <w:caps w:val="0"/>
                <w:color w:val="0F1115"/>
                <w:spacing w:val="0"/>
                <w:sz w:val="21"/>
                <w:szCs w:val="21"/>
                <w:u w:val="none"/>
                <w:lang w:eastAsia="zh-CN"/>
              </w:rPr>
              <w:t> </w:t>
            </w:r>
          </w:p>
          <w:p w14:paraId="0C76261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Following an Independent Review</w:t>
            </w:r>
            <w:r>
              <w:rPr>
                <w:rFonts w:hint="eastAsia" w:asciiTheme="minorEastAsia" w:hAnsiTheme="minorEastAsia" w:eastAsiaTheme="minorEastAsia" w:cstheme="minorEastAsia"/>
                <w:i w:val="0"/>
                <w:iCs w:val="0"/>
                <w:caps w:val="0"/>
                <w:color w:val="0F1115"/>
                <w:spacing w:val="0"/>
                <w:sz w:val="21"/>
                <w:szCs w:val="21"/>
                <w:u w:val="none"/>
                <w:lang w:eastAsia="zh-CN"/>
              </w:rPr>
              <w:t> </w:t>
            </w:r>
            <w:r>
              <w:rPr>
                <w:rFonts w:hint="eastAsia" w:asciiTheme="minorEastAsia" w:hAnsiTheme="minorEastAsia" w:eastAsiaTheme="minorEastAsia" w:cstheme="minorEastAsia"/>
                <w:i w:val="0"/>
                <w:iCs w:val="0"/>
                <w:caps w:val="0"/>
                <w:color w:val="0F1115"/>
                <w:spacing w:val="0"/>
                <w:sz w:val="21"/>
                <w:szCs w:val="21"/>
                <w:u w:val="none"/>
                <w:lang w:eastAsia="zh-CN"/>
              </w:rPr>
              <w:t xml:space="preserve">conducted by the University of Exeter in 2021, the Leadership Board . One of the key recommendations in the review was for the implementation short-term priority actions to feed into and contribute to the delivery of the Cornwall Plan. </w:t>
            </w:r>
          </w:p>
          <w:p w14:paraId="675185E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p w14:paraId="5788A21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tc>
      </w:tr>
      <w:tr w14:paraId="6EA0F2B4">
        <w:trPr>
          <w:jc w:val="center"/>
        </w:trPr>
        <w:tc>
          <w:tcPr>
            <w:tcW w:w="2268" w:type="dxa"/>
            <w:shd w:val="clear" w:color="auto" w:fill="EAF2F8"/>
            <w:tcMar>
              <w:top w:w="90" w:type="dxa"/>
              <w:left w:w="100" w:type="dxa"/>
              <w:bottom w:w="90" w:type="dxa"/>
              <w:right w:w="100" w:type="dxa"/>
            </w:tcMar>
            <w:vAlign w:val="center"/>
          </w:tcPr>
          <w:p w14:paraId="6F4D29A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中文翻译</w:t>
            </w:r>
          </w:p>
        </w:tc>
        <w:tc>
          <w:tcPr>
            <w:tcW w:w="6350" w:type="dxa"/>
            <w:tcMar>
              <w:top w:w="90" w:type="dxa"/>
              <w:left w:w="100" w:type="dxa"/>
              <w:bottom w:w="90" w:type="dxa"/>
              <w:right w:w="100" w:type="dxa"/>
            </w:tcMar>
            <w:vAlign w:val="center"/>
          </w:tcPr>
          <w:p w14:paraId="6445F3E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2020年12月，康沃尔和锡利群岛领导委员会（外部链接）通过了《康沃尔计划》。该计划是康沃尔和锡利群岛（CIOS）领导委员会对康沃尔的共同愿景，是实现更绿色、更清洁、更公平、更具包容性的康沃尔的路线图。</w:t>
            </w:r>
          </w:p>
          <w:p w14:paraId="3C837C1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《康沃尔计划》为康沃尔的未来设定了雄心勃勃的目标，分为六个方向：</w:t>
            </w:r>
          </w:p>
          <w:p w14:paraId="57B3D52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方向1：创新、净零排放的经济</w:t>
            </w:r>
            <w:r>
              <w:rPr>
                <w:rFonts w:hint="eastAsia" w:asciiTheme="minorEastAsia" w:hAnsiTheme="minorEastAsia" w:eastAsiaTheme="minorEastAsia" w:cstheme="minorEastAsia"/>
                <w:i w:val="0"/>
                <w:iCs w:val="0"/>
                <w:caps w:val="0"/>
                <w:color w:val="0F1115"/>
                <w:spacing w:val="0"/>
                <w:sz w:val="21"/>
                <w:szCs w:val="21"/>
                <w:u w:val="none"/>
                <w:lang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eastAsia="zh-CN"/>
              </w:rPr>
              <w:t>方向2：可持续的食物、陆地和海洋</w:t>
            </w:r>
            <w:r>
              <w:rPr>
                <w:rFonts w:hint="eastAsia" w:asciiTheme="minorEastAsia" w:hAnsiTheme="minorEastAsia" w:eastAsiaTheme="minorEastAsia" w:cstheme="minorEastAsia"/>
                <w:i w:val="0"/>
                <w:iCs w:val="0"/>
                <w:caps w:val="0"/>
                <w:color w:val="0F1115"/>
                <w:spacing w:val="0"/>
                <w:sz w:val="21"/>
                <w:szCs w:val="21"/>
                <w:u w:val="none"/>
                <w:lang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eastAsia="zh-CN"/>
              </w:rPr>
              <w:t>方向3：繁荣的地方与体面、可负担的住房</w:t>
            </w:r>
            <w:r>
              <w:rPr>
                <w:rFonts w:hint="eastAsia" w:asciiTheme="minorEastAsia" w:hAnsiTheme="minorEastAsia" w:eastAsiaTheme="minorEastAsia" w:cstheme="minorEastAsia"/>
                <w:i w:val="0"/>
                <w:iCs w:val="0"/>
                <w:caps w:val="0"/>
                <w:color w:val="0F1115"/>
                <w:spacing w:val="0"/>
                <w:sz w:val="21"/>
                <w:szCs w:val="21"/>
                <w:u w:val="none"/>
                <w:lang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eastAsia="zh-CN"/>
              </w:rPr>
              <w:t>方向4：平等、教育与创业</w:t>
            </w:r>
            <w:r>
              <w:rPr>
                <w:rFonts w:hint="eastAsia" w:asciiTheme="minorEastAsia" w:hAnsiTheme="minorEastAsia" w:eastAsiaTheme="minorEastAsia" w:cstheme="minorEastAsia"/>
                <w:i w:val="0"/>
                <w:iCs w:val="0"/>
                <w:caps w:val="0"/>
                <w:color w:val="0F1115"/>
                <w:spacing w:val="0"/>
                <w:sz w:val="21"/>
                <w:szCs w:val="21"/>
                <w:u w:val="none"/>
                <w:lang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eastAsia="zh-CN"/>
              </w:rPr>
              <w:t>方向5：安全、健康、有韧性的社区</w:t>
            </w:r>
            <w:r>
              <w:rPr>
                <w:rFonts w:hint="eastAsia" w:asciiTheme="minorEastAsia" w:hAnsiTheme="minorEastAsia" w:eastAsiaTheme="minorEastAsia" w:cstheme="minorEastAsia"/>
                <w:i w:val="0"/>
                <w:iCs w:val="0"/>
                <w:caps w:val="0"/>
                <w:color w:val="0F1115"/>
                <w:spacing w:val="0"/>
                <w:sz w:val="21"/>
                <w:szCs w:val="21"/>
                <w:u w:val="none"/>
                <w:lang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eastAsia="zh-CN"/>
              </w:rPr>
              <w:t>方向6：可持续生活的数字革命</w:t>
            </w:r>
          </w:p>
          <w:p w14:paraId="5CBBCB2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为推动落实并加强围绕这些目标的伙伴关系，2024年任命了六位“战略召集人”。战略召集人将定期向领导委员会汇报工作，相关会议讨论的链接可在此处查看（外部链接）。</w:t>
            </w:r>
          </w:p>
          <w:p w14:paraId="18D3B9D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更新</w:t>
            </w:r>
          </w:p>
          <w:p w14:paraId="4C71875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自2020年以来，CIOS领导委员会一直致力于共同落实《康沃尔计划》，并每年审查进展。康沃尔的伙伴关系路径确实展现出了强大实力。年度审查及其配套的仪表板每次迭代都变得更加精细。然而，《康沃尔计划》自2020年首次发布后尚未更新。2023年，CIOS领导委员会决定是时候进行更新，以确保我们所指引的方向依然正确。我们做了一些调整，以反映我们所处环境的变化以及面临的挑战。</w:t>
            </w:r>
          </w:p>
          <w:p w14:paraId="2B6BF8C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更新后的《康沃尔计划》可在此处找到。</w:t>
            </w:r>
          </w:p>
          <w:p w14:paraId="42F4136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p w14:paraId="04F5F97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年度审查</w:t>
            </w:r>
          </w:p>
          <w:p w14:paraId="16697A7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康沃尔计划》是让合作伙伴以有意义的方式聚集起来，共同应对康沃尔未来挑战的工具。领导委员会承诺每年审查《康沃尔计划》的进展。这是一个反思我们现在所处位置和未来方向的机会。支持性详情可参见本页底部的配套仪表板。自2021年以来，每年都进行了一次年度审查。</w:t>
            </w:r>
          </w:p>
          <w:p w14:paraId="33D0134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甜甜圈经济学</w:t>
            </w:r>
          </w:p>
          <w:p w14:paraId="00904F8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康沃尔计划》包含一个“康沃尔甜甜圈”，用于衡量我们朝着期望成果的进展。该甜甜圈以康沃尔郡议会的发展与决策轮（外部链接）为模型，并植根于凯特·拉沃斯的甜甜圈经济学（外部链接）。它提供了康沃尔的整体快照，展示了《康沃尔计划》在甜甜圈的社会（更公平、更具包容性的康沃尔）和地球（更绿色、更清洁的康沃尔）边界上的表现。</w:t>
            </w:r>
          </w:p>
          <w:p w14:paraId="7BCA983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康沃尔甜甜圈利用《康沃尔计划》中设定的成果，简要展示了我们在各个领域的现状。它不是一个对康沃尔的全面评估，而是作为宏观思维、共同创造创新和系统性变革的起点。甜甜圈将支持战略召集人寻求对康沃尔雄心的整体反思，并推动有意义的变革。</w:t>
            </w:r>
          </w:p>
          <w:p w14:paraId="2F352CE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短期行动</w:t>
            </w:r>
          </w:p>
          <w:p w14:paraId="700A36A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继2021年埃克塞特大学进行独立审查后，领导委员会审查中的一项关键建议是实施短期优先行动，以支持并促进《康沃尔计划》的落实。</w:t>
            </w:r>
          </w:p>
          <w:p w14:paraId="2020557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tc>
      </w:tr>
      <w:tr w14:paraId="320F210D">
        <w:trPr>
          <w:jc w:val="center"/>
        </w:trPr>
        <w:tc>
          <w:tcPr>
            <w:tcW w:w="2268" w:type="dxa"/>
            <w:shd w:val="clear" w:color="auto" w:fill="EAF2F8"/>
            <w:tcMar>
              <w:top w:w="90" w:type="dxa"/>
              <w:left w:w="100" w:type="dxa"/>
              <w:bottom w:w="90" w:type="dxa"/>
              <w:right w:w="100" w:type="dxa"/>
            </w:tcMar>
            <w:vAlign w:val="center"/>
          </w:tcPr>
          <w:p w14:paraId="3F04F7C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你的判断</w:t>
            </w:r>
          </w:p>
        </w:tc>
        <w:tc>
          <w:tcPr>
            <w:tcW w:w="6350" w:type="dxa"/>
            <w:tcMar>
              <w:top w:w="90" w:type="dxa"/>
              <w:left w:w="100" w:type="dxa"/>
              <w:bottom w:w="90" w:type="dxa"/>
              <w:right w:w="100" w:type="dxa"/>
            </w:tcMar>
            <w:vAlign w:val="center"/>
          </w:tcPr>
          <w:p w14:paraId="6ABDE16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是否可用于论文：</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核心文献  □辅助文献  □备用资料</w:t>
            </w:r>
            <w:r>
              <w:rPr>
                <w:rFonts w:hint="eastAsia" w:asciiTheme="minorEastAsia" w:hAnsiTheme="minorEastAsia" w:eastAsiaTheme="minorEastAsia" w:cstheme="minorEastAsia"/>
                <w:i w:val="0"/>
                <w:iCs w:val="0"/>
                <w:caps w:val="0"/>
                <w:color w:val="0F1115"/>
                <w:spacing w:val="0"/>
                <w:sz w:val="21"/>
                <w:szCs w:val="21"/>
                <w:u w:val="none"/>
                <w:lang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eastAsia="zh-CN"/>
              </w:rPr>
              <w:t>可信度：</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高  □中  □低</w:t>
            </w:r>
          </w:p>
        </w:tc>
      </w:tr>
    </w:tbl>
    <w:p w14:paraId="628EE3B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 xml:space="preserve">文献 </w:t>
      </w:r>
      <w:r>
        <w:rPr>
          <w:rFonts w:hint="eastAsia" w:asciiTheme="minorEastAsia" w:hAnsiTheme="minorEastAsia" w:eastAsiaTheme="minorEastAsia" w:cstheme="minorEastAsia"/>
          <w:i w:val="0"/>
          <w:iCs w:val="0"/>
          <w:caps w:val="0"/>
          <w:color w:val="0F1115"/>
          <w:spacing w:val="0"/>
          <w:sz w:val="21"/>
          <w:szCs w:val="21"/>
          <w:u w:val="none"/>
          <w:lang w:val="en-US" w:eastAsia="zh-CN"/>
        </w:rPr>
        <w:t>3</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6785"/>
      </w:tblGrid>
      <w:tr w14:paraId="6D8BD1EE">
        <w:trPr>
          <w:jc w:val="center"/>
        </w:trPr>
        <w:tc>
          <w:tcPr>
            <w:tcW w:w="2268" w:type="dxa"/>
            <w:shd w:val="clear" w:color="auto" w:fill="EAF2F8"/>
            <w:tcMar>
              <w:top w:w="90" w:type="dxa"/>
              <w:left w:w="100" w:type="dxa"/>
              <w:bottom w:w="90" w:type="dxa"/>
              <w:right w:w="100" w:type="dxa"/>
            </w:tcMar>
            <w:vAlign w:val="center"/>
          </w:tcPr>
          <w:p w14:paraId="27B1F00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文献题目</w:t>
            </w:r>
          </w:p>
        </w:tc>
        <w:tc>
          <w:tcPr>
            <w:tcW w:w="6350" w:type="dxa"/>
            <w:tcMar>
              <w:top w:w="90" w:type="dxa"/>
              <w:left w:w="100" w:type="dxa"/>
              <w:bottom w:w="90" w:type="dxa"/>
              <w:right w:w="100" w:type="dxa"/>
            </w:tcMar>
            <w:vAlign w:val="center"/>
          </w:tcPr>
          <w:p w14:paraId="278F73A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The Cornwall Doughnut Hack</w:t>
            </w:r>
          </w:p>
        </w:tc>
      </w:tr>
      <w:tr w14:paraId="6F32BB78">
        <w:trPr>
          <w:jc w:val="center"/>
        </w:trPr>
        <w:tc>
          <w:tcPr>
            <w:tcW w:w="2268" w:type="dxa"/>
            <w:shd w:val="clear" w:color="auto" w:fill="EAF2F8"/>
            <w:tcMar>
              <w:top w:w="90" w:type="dxa"/>
              <w:left w:w="100" w:type="dxa"/>
              <w:bottom w:w="90" w:type="dxa"/>
              <w:right w:w="100" w:type="dxa"/>
            </w:tcMar>
            <w:vAlign w:val="center"/>
          </w:tcPr>
          <w:p w14:paraId="230AA24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作者/机构</w:t>
            </w:r>
          </w:p>
        </w:tc>
        <w:tc>
          <w:tcPr>
            <w:tcW w:w="6350" w:type="dxa"/>
            <w:tcMar>
              <w:top w:w="90" w:type="dxa"/>
              <w:left w:w="100" w:type="dxa"/>
              <w:bottom w:w="90" w:type="dxa"/>
              <w:right w:w="100" w:type="dxa"/>
            </w:tcMar>
            <w:vAlign w:val="center"/>
          </w:tcPr>
          <w:p w14:paraId="77331C4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Cornwall Doughnut Collective &amp; Manda Brookman (Cafe Disruptif)</w:t>
            </w:r>
          </w:p>
        </w:tc>
      </w:tr>
      <w:tr w14:paraId="21D26568">
        <w:trPr>
          <w:jc w:val="center"/>
        </w:trPr>
        <w:tc>
          <w:tcPr>
            <w:tcW w:w="2268" w:type="dxa"/>
            <w:shd w:val="clear" w:color="auto" w:fill="EAF2F8"/>
            <w:tcMar>
              <w:top w:w="90" w:type="dxa"/>
              <w:left w:w="100" w:type="dxa"/>
              <w:bottom w:w="90" w:type="dxa"/>
              <w:right w:w="100" w:type="dxa"/>
            </w:tcMar>
            <w:vAlign w:val="center"/>
          </w:tcPr>
          <w:p w14:paraId="1FEFBF4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来源类型</w:t>
            </w:r>
          </w:p>
        </w:tc>
        <w:tc>
          <w:tcPr>
            <w:tcW w:w="6350" w:type="dxa"/>
            <w:tcMar>
              <w:top w:w="90" w:type="dxa"/>
              <w:left w:w="100" w:type="dxa"/>
              <w:bottom w:w="90" w:type="dxa"/>
              <w:right w:w="100" w:type="dxa"/>
            </w:tcMar>
            <w:vAlign w:val="center"/>
          </w:tcPr>
          <w:p w14:paraId="1D9CEF9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民间社区行动报告 (DEAL 实践案例库</w:t>
            </w:r>
          </w:p>
        </w:tc>
      </w:tr>
      <w:tr w14:paraId="351F8C6A">
        <w:trPr>
          <w:jc w:val="center"/>
        </w:trPr>
        <w:tc>
          <w:tcPr>
            <w:tcW w:w="2268" w:type="dxa"/>
            <w:shd w:val="clear" w:color="auto" w:fill="EAF2F8"/>
            <w:tcMar>
              <w:top w:w="90" w:type="dxa"/>
              <w:left w:w="100" w:type="dxa"/>
              <w:bottom w:w="90" w:type="dxa"/>
              <w:right w:w="100" w:type="dxa"/>
            </w:tcMar>
            <w:vAlign w:val="center"/>
          </w:tcPr>
          <w:p w14:paraId="1BECB9F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链接或数据库</w:t>
            </w:r>
          </w:p>
        </w:tc>
        <w:tc>
          <w:tcPr>
            <w:tcW w:w="6350" w:type="dxa"/>
            <w:tcMar>
              <w:top w:w="90" w:type="dxa"/>
              <w:left w:w="100" w:type="dxa"/>
              <w:bottom w:w="90" w:type="dxa"/>
              <w:right w:w="100" w:type="dxa"/>
            </w:tcMar>
            <w:vAlign w:val="center"/>
          </w:tcPr>
          <w:p w14:paraId="14C53CF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https://doughnuteconomics.org/stories/the-cornwall-doughnut-hack</w:t>
            </w:r>
          </w:p>
        </w:tc>
      </w:tr>
      <w:tr w14:paraId="2E0F5DC4">
        <w:trPr>
          <w:jc w:val="center"/>
        </w:trPr>
        <w:tc>
          <w:tcPr>
            <w:tcW w:w="2268" w:type="dxa"/>
            <w:shd w:val="clear" w:color="auto" w:fill="EAF2F8"/>
            <w:tcMar>
              <w:top w:w="90" w:type="dxa"/>
              <w:left w:w="100" w:type="dxa"/>
              <w:bottom w:w="90" w:type="dxa"/>
              <w:right w:w="100" w:type="dxa"/>
            </w:tcMar>
            <w:vAlign w:val="center"/>
          </w:tcPr>
          <w:p w14:paraId="2C072E7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发布时间</w:t>
            </w:r>
          </w:p>
        </w:tc>
        <w:tc>
          <w:tcPr>
            <w:tcW w:w="6350" w:type="dxa"/>
            <w:tcMar>
              <w:top w:w="90" w:type="dxa"/>
              <w:left w:w="100" w:type="dxa"/>
              <w:bottom w:w="90" w:type="dxa"/>
              <w:right w:w="100" w:type="dxa"/>
            </w:tcMar>
            <w:vAlign w:val="center"/>
          </w:tcPr>
          <w:p w14:paraId="3800111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2020年</w:t>
            </w:r>
          </w:p>
          <w:p w14:paraId="2F618D4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tc>
      </w:tr>
      <w:tr w14:paraId="2D74E080">
        <w:trPr>
          <w:jc w:val="center"/>
        </w:trPr>
        <w:tc>
          <w:tcPr>
            <w:tcW w:w="2268" w:type="dxa"/>
            <w:shd w:val="clear" w:color="auto" w:fill="EAF2F8"/>
            <w:tcMar>
              <w:top w:w="90" w:type="dxa"/>
              <w:left w:w="100" w:type="dxa"/>
              <w:bottom w:w="90" w:type="dxa"/>
              <w:right w:w="100" w:type="dxa"/>
            </w:tcMar>
            <w:vAlign w:val="center"/>
          </w:tcPr>
          <w:p w14:paraId="3137B16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为什么值得收集</w:t>
            </w:r>
          </w:p>
        </w:tc>
        <w:tc>
          <w:tcPr>
            <w:tcW w:w="6350" w:type="dxa"/>
            <w:tcMar>
              <w:top w:w="90" w:type="dxa"/>
              <w:left w:w="100" w:type="dxa"/>
              <w:bottom w:w="90" w:type="dxa"/>
              <w:right w:w="100" w:type="dxa"/>
            </w:tcMar>
            <w:vAlign w:val="center"/>
          </w:tcPr>
          <w:p w14:paraId="2E3A6A7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这是康沃尔地区民间团体在官方决策轮诞生前，自发运用甜甜圈模型进行的一次探索性社区工作坊</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"https://doughnuteconomics.org/stories/the-cornwall-doughnut-hack?users_page=2"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。它记录了活动的发起缘由、组织形式、讨论内容与产出，是体现康沃尔从民间力量推动官方采纳“甜甜圈”模式的关键民间视角证据</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"https://doughnuteconomics.org/stories/the-cornwall-doughnut-hack?users_page=2"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w:t>
            </w:r>
          </w:p>
        </w:tc>
      </w:tr>
      <w:tr w14:paraId="12BAE9A4">
        <w:trPr>
          <w:jc w:val="center"/>
        </w:trPr>
        <w:tc>
          <w:tcPr>
            <w:tcW w:w="2268" w:type="dxa"/>
            <w:shd w:val="clear" w:color="auto" w:fill="EAF2F8"/>
            <w:tcMar>
              <w:top w:w="90" w:type="dxa"/>
              <w:left w:w="100" w:type="dxa"/>
              <w:bottom w:w="90" w:type="dxa"/>
              <w:right w:w="100" w:type="dxa"/>
            </w:tcMar>
            <w:vAlign w:val="center"/>
          </w:tcPr>
          <w:p w14:paraId="4A0168A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原文</w:t>
            </w:r>
          </w:p>
        </w:tc>
        <w:tc>
          <w:tcPr>
            <w:tcW w:w="6350" w:type="dxa"/>
            <w:tcMar>
              <w:top w:w="90" w:type="dxa"/>
              <w:left w:w="100" w:type="dxa"/>
              <w:bottom w:w="90" w:type="dxa"/>
              <w:right w:w="100" w:type="dxa"/>
            </w:tcMar>
            <w:vAlign w:val="center"/>
          </w:tcPr>
          <w:p w14:paraId="5AED443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Cornwall Doughnut Hack</w:t>
            </w:r>
          </w:p>
          <w:p w14:paraId="0B81C05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An amazing, tricky, collective, challenging, collaborative, audacious day of beginning the process of understanding which direction we're facing in our current context of climate, economic and social crises.</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"http://www.cafedisruptif.com/eco-nomics-disrupted--the-doughnut-hack.html"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eastAsia="zh-CN"/>
              </w:rPr>
              <w:t>http://www.cafedisruptif.com/eco-nomics-disrupted--the-doughnut-hack.html</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It made for much scratching of heads as we fought with the best way of embracing this enormous level of complexity; and brought out some hair-raising facts... and some heart-stormingly brilliant ideas for change...</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We talked about climate and change, about facts, and behaviour; about politics and community and fear , about loss and the past, about the future, and injustice and soil and communication and poverty and  systems and planning; banking and carbon and schools and food; and watched and heard and spoke and listened and  ate together in warmth and space of the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"http://www.heartlandscornwall.com/hospitality/venues/chi-an-bobel-great-hall.php"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eastAsia="zh-CN"/>
              </w:rPr>
              <w:t>Chy N Bobl Hall in Heartlands in Cornwall</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We gave ourselves an enormous, complex task: but we tackled it with gusto, started to make some amazing connections and were encouraged on by the awesome Kate Raworth, who received two huge rounds of applause without even being in the room...!</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Then we heard from Ian Smith on poverty, exclusion and the need for change.</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Tony Greenham offered the new model of a local bank that might let us reconfigure how we manage our money - with some jaw droppingly compelling arguments. You can find out more at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"http://www.southwestmutual.co.uk/"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eastAsia="zh-CN"/>
              </w:rPr>
              <w:t>www.southwestmutual.co.uk</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 @SouthWestMutual @TonyGreenham</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Then Jay Tompt from the REconomy Project talked about how they created a community wealth building programme in Totnes.</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We looked at the Preston Model and what they're doing differently.</w:t>
            </w:r>
          </w:p>
          <w:p w14:paraId="58D38C1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Pizzas and doughnuts</w:t>
            </w:r>
          </w:p>
          <w:p w14:paraId="729475B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We looked at every point on the doughnut, by splitting into four groups and taking a quadrant each. We then used our own knowledge, networks and connections to identify at least one name and organisation that could be our "lead" to extract the data we need to take a 21 Century Cornwall Doughnut Selfie.</w:t>
            </w:r>
          </w:p>
          <w:p w14:paraId="2C92C96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Joining the Doughnut Dots</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to underline the three dimensional nature of the doughnut, we chose a point  from the doughnut and walked through the room talking to other people with other "points" to identify the dynamic connectivity between them all.</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Reviewing the connections we had made we acknowledged the overwhelming importance of climate in every one of these, and that each section of the doughnut and the work we need to do in it *has* to contribute to our response to the existential threat of climate breakdown.</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We lined up from one end of the hall to the other and invited everyone to occupy the place they felt they could contribute best, fully in the knowledge that - crucially - we need every sort of action, from formal, local authority, officer-shaped effort, to on the street, making a noise, activist effort - and that there is space for everyone to engage, in whatever way they think they can have most impact.</w:t>
            </w:r>
          </w:p>
        </w:tc>
      </w:tr>
      <w:tr w14:paraId="7B5910AB">
        <w:trPr>
          <w:jc w:val="center"/>
        </w:trPr>
        <w:tc>
          <w:tcPr>
            <w:tcW w:w="2268" w:type="dxa"/>
            <w:shd w:val="clear" w:color="auto" w:fill="EAF2F8"/>
            <w:tcMar>
              <w:top w:w="90" w:type="dxa"/>
              <w:left w:w="100" w:type="dxa"/>
              <w:bottom w:w="90" w:type="dxa"/>
              <w:right w:w="100" w:type="dxa"/>
            </w:tcMar>
            <w:vAlign w:val="center"/>
          </w:tcPr>
          <w:p w14:paraId="77AD671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中文翻译</w:t>
            </w:r>
          </w:p>
        </w:tc>
        <w:tc>
          <w:tcPr>
            <w:tcW w:w="6350" w:type="dxa"/>
            <w:tcMar>
              <w:top w:w="90" w:type="dxa"/>
              <w:left w:w="100" w:type="dxa"/>
              <w:bottom w:w="90" w:type="dxa"/>
              <w:right w:w="100" w:type="dxa"/>
            </w:tcMar>
            <w:vAlign w:val="center"/>
          </w:tcPr>
          <w:p w14:paraId="06C4F69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康沃尔甜甜圈“破解”工作坊</w:t>
            </w:r>
          </w:p>
          <w:p w14:paraId="36E36A6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这是一个令人惊叹、棘手、集体性、充满挑战、协作且大胆的一天，我们开始着手理解在当前气候、经济和社会危机的背景下，我们正朝着哪个方向前进。</w:t>
            </w:r>
            <w:r>
              <w:rPr>
                <w:rFonts w:hint="default" w:asciiTheme="minorEastAsia" w:hAnsiTheme="minorEastAsia" w:eastAsiaTheme="minorEastAsia" w:cstheme="minorEastAsia"/>
                <w:i w:val="0"/>
                <w:iCs w:val="0"/>
                <w:caps w:val="0"/>
                <w:color w:val="0F1115"/>
                <w:spacing w:val="0"/>
                <w:sz w:val="21"/>
                <w:szCs w:val="21"/>
                <w:u w:val="none"/>
                <w:lang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eastAsia="zh-CN"/>
              </w:rPr>
              <w:instrText xml:space="preserve"> HYPERLINK "http://www.cafedisruptif.com/eco-nomics-disrupted--the-doughnut-hack.html"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eastAsia="zh-CN"/>
              </w:rPr>
              <w:t>http://www.cafedisruptif.com/eco-nomics-disrupted--the-doughnut-hack.html</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end"/>
            </w:r>
          </w:p>
          <w:p w14:paraId="21F030D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我们奋力寻找拥抱这种巨大复杂性的最佳方式，这让很多人挠头；同时，也揭示出一些令人发指的事实……以及一些令人振奋的变革好点子……</w:t>
            </w:r>
          </w:p>
          <w:p w14:paraId="21079AF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我们谈论了气候与变化、事实与行为、政治与社区与恐惧、失去与过去、未来与不公正、土壤与沟通、贫困与系统与规划；银行业、碳、学校和食物；我们在Heartlands的Chy N Bobl Hall温暖而宽敞的空间里一起观看、聆听、发言、互相倾听，并共进餐食。</w:t>
            </w:r>
          </w:p>
          <w:p w14:paraId="14027AA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我们给自己设定了一项庞大而复杂的任务，但我们充满热情地着手解决，开始建立一些惊人的联系，并得到了令人敬畏的凯特·拉沃斯的鼓励——她本人甚至不在现场，却收获了两轮热烈的掌声……！</w:t>
            </w:r>
          </w:p>
          <w:p w14:paraId="7A7EF2D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然后，我们听了伊恩·史密斯关于贫困、排斥和变革必要性的发言。</w:t>
            </w:r>
          </w:p>
          <w:p w14:paraId="3556D84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托尼·格里纳姆提出了一种新型本地银行的模式，或许能让我们重新配置管理资金的方式——并提出了一些令人瞠目结舌、极具说服力的论点。你可以在以下网站了解更多信息：</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eastAsia="zh-CN"/>
              </w:rPr>
              <w:instrText xml:space="preserve"> HYPERLINK "https://www.southwestmutual.co.uk/"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eastAsia="zh-CN"/>
              </w:rPr>
              <w:t>www.southwestmutual.co.uk</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eastAsia="zh-CN"/>
              </w:rPr>
              <w:t> @SouthWestMutual @TonyGreenham</w:t>
            </w:r>
          </w:p>
          <w:p w14:paraId="3271007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接着，来自REconomy项目的杰伊·汤姆特谈到了他们如何在托特尼斯创建了一个社区财富建设项目。</w:t>
            </w:r>
          </w:p>
          <w:p w14:paraId="769234E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我们了解了普雷斯顿模型以及他们正在采取的不同做法。</w:t>
            </w:r>
            <w:r>
              <w:rPr>
                <w:rFonts w:hint="default" w:asciiTheme="minorEastAsia" w:hAnsiTheme="minorEastAsia" w:eastAsiaTheme="minorEastAsia" w:cstheme="minorEastAsia"/>
                <w:i w:val="0"/>
                <w:iCs w:val="0"/>
                <w:caps w:val="0"/>
                <w:color w:val="0F1115"/>
                <w:spacing w:val="0"/>
                <w:sz w:val="21"/>
                <w:szCs w:val="21"/>
                <w:u w:val="none"/>
                <w:lang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eastAsia="zh-CN"/>
              </w:rPr>
              <w:t>披萨与甜甜圈</w:t>
            </w:r>
          </w:p>
          <w:p w14:paraId="576B039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我们分成四个小组，每组负责一个象限，以此来审视甜甜圈的每一个维度。然后，我们利用自己的知识、网络和人脉，为每个维度至少确定一个“牵头”的个人或组织，以获取我们所需的数据，为21世纪的康沃尔拍一张“甜甜圈自拍照”。</w:t>
            </w:r>
          </w:p>
          <w:p w14:paraId="32C10AF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连接甜甜圈的各个点</w:t>
            </w:r>
            <w:r>
              <w:rPr>
                <w:rFonts w:hint="default" w:asciiTheme="minorEastAsia" w:hAnsiTheme="minorEastAsia" w:eastAsiaTheme="minorEastAsia" w:cstheme="minorEastAsia"/>
                <w:i w:val="0"/>
                <w:iCs w:val="0"/>
                <w:caps w:val="0"/>
                <w:color w:val="0F1115"/>
                <w:spacing w:val="0"/>
                <w:sz w:val="21"/>
                <w:szCs w:val="21"/>
                <w:u w:val="none"/>
                <w:lang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eastAsia="zh-CN"/>
              </w:rPr>
              <w:t>为了强调甜甜圈的三维本质，我们每个人从甜甜圈中选一个“点”，然后在房间里走动，与持有其他“点”的人交谈，以识别它们之间存在的动态联系。</w:t>
            </w:r>
          </w:p>
          <w:p w14:paraId="4F4962A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在回顾我们所建立的联系时，我们承认气候在每一个联系中都占据压倒性的重要性，而且甜甜圈的每个部分以及我们在其中需要做的必须有助于我们应对气候崩溃这一生存威胁。</w:t>
            </w:r>
          </w:p>
          <w:p w14:paraId="288D28F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我们从大厅的一端排到另一端，邀请每个人站在自己认为最能做出贡献的位置，大家都充分认识到——关键在于——我们需要各种类型的行动，从正式的、地方政府的、官员式的努力，到走上街头、发出声音的激进活动——每个人都有参与的空间，无论他们以何种方式认为自己能产生最大的影响。</w:t>
            </w:r>
          </w:p>
        </w:tc>
      </w:tr>
      <w:tr w14:paraId="56BA1504">
        <w:trPr>
          <w:jc w:val="center"/>
        </w:trPr>
        <w:tc>
          <w:tcPr>
            <w:tcW w:w="2268" w:type="dxa"/>
            <w:shd w:val="clear" w:color="auto" w:fill="EAF2F8"/>
            <w:tcMar>
              <w:top w:w="90" w:type="dxa"/>
              <w:left w:w="100" w:type="dxa"/>
              <w:bottom w:w="90" w:type="dxa"/>
              <w:right w:w="100" w:type="dxa"/>
            </w:tcMar>
            <w:vAlign w:val="center"/>
          </w:tcPr>
          <w:p w14:paraId="0862216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你的判断</w:t>
            </w:r>
          </w:p>
        </w:tc>
        <w:tc>
          <w:tcPr>
            <w:tcW w:w="6350" w:type="dxa"/>
            <w:tcMar>
              <w:top w:w="90" w:type="dxa"/>
              <w:left w:w="100" w:type="dxa"/>
              <w:bottom w:w="90" w:type="dxa"/>
              <w:right w:w="100" w:type="dxa"/>
            </w:tcMar>
            <w:vAlign w:val="center"/>
          </w:tcPr>
          <w:p w14:paraId="3AC9DDF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是否可用于论文：</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核心文献  □辅助文献  □备用资料</w:t>
            </w:r>
            <w:r>
              <w:rPr>
                <w:rFonts w:hint="eastAsia" w:asciiTheme="minorEastAsia" w:hAnsiTheme="minorEastAsia" w:eastAsiaTheme="minorEastAsia" w:cstheme="minorEastAsia"/>
                <w:i w:val="0"/>
                <w:iCs w:val="0"/>
                <w:caps w:val="0"/>
                <w:color w:val="0F1115"/>
                <w:spacing w:val="0"/>
                <w:sz w:val="21"/>
                <w:szCs w:val="21"/>
                <w:u w:val="none"/>
                <w:lang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eastAsia="zh-CN"/>
              </w:rPr>
              <w:t>可信度：</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高  □中  □低</w:t>
            </w:r>
          </w:p>
        </w:tc>
      </w:tr>
    </w:tbl>
    <w:p w14:paraId="1896A9F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 xml:space="preserve">文献 </w:t>
      </w:r>
      <w:r>
        <w:rPr>
          <w:rFonts w:hint="eastAsia" w:asciiTheme="minorEastAsia" w:hAnsiTheme="minorEastAsia" w:eastAsiaTheme="minorEastAsia" w:cstheme="minorEastAsia"/>
          <w:i w:val="0"/>
          <w:iCs w:val="0"/>
          <w:caps w:val="0"/>
          <w:color w:val="0F1115"/>
          <w:spacing w:val="0"/>
          <w:sz w:val="21"/>
          <w:szCs w:val="21"/>
          <w:u w:val="none"/>
          <w:lang w:val="en-US" w:eastAsia="zh-CN"/>
        </w:rPr>
        <w:t>4</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6990"/>
      </w:tblGrid>
      <w:tr w14:paraId="1AE8CC52">
        <w:trPr>
          <w:jc w:val="center"/>
        </w:trPr>
        <w:tc>
          <w:tcPr>
            <w:tcW w:w="2268" w:type="dxa"/>
            <w:shd w:val="clear" w:color="auto" w:fill="EAF2F8"/>
            <w:tcMar>
              <w:top w:w="90" w:type="dxa"/>
              <w:left w:w="100" w:type="dxa"/>
              <w:bottom w:w="90" w:type="dxa"/>
              <w:right w:w="100" w:type="dxa"/>
            </w:tcMar>
            <w:vAlign w:val="center"/>
          </w:tcPr>
          <w:p w14:paraId="35D1D12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文献题目</w:t>
            </w:r>
          </w:p>
        </w:tc>
        <w:tc>
          <w:tcPr>
            <w:tcW w:w="6350" w:type="dxa"/>
            <w:tcMar>
              <w:top w:w="90" w:type="dxa"/>
              <w:left w:w="100" w:type="dxa"/>
              <w:bottom w:w="90" w:type="dxa"/>
              <w:right w:w="100" w:type="dxa"/>
            </w:tcMar>
            <w:vAlign w:val="center"/>
          </w:tcPr>
          <w:p w14:paraId="362A3AF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Local government case study: Cornwall, UK</w:t>
            </w:r>
          </w:p>
        </w:tc>
      </w:tr>
      <w:tr w14:paraId="726432FC">
        <w:trPr>
          <w:jc w:val="center"/>
        </w:trPr>
        <w:tc>
          <w:tcPr>
            <w:tcW w:w="2268" w:type="dxa"/>
            <w:shd w:val="clear" w:color="auto" w:fill="EAF2F8"/>
            <w:tcMar>
              <w:top w:w="90" w:type="dxa"/>
              <w:left w:w="100" w:type="dxa"/>
              <w:bottom w:w="90" w:type="dxa"/>
              <w:right w:w="100" w:type="dxa"/>
            </w:tcMar>
            <w:vAlign w:val="center"/>
          </w:tcPr>
          <w:p w14:paraId="4BB0A8C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作者/机构</w:t>
            </w:r>
          </w:p>
        </w:tc>
        <w:tc>
          <w:tcPr>
            <w:tcW w:w="6350" w:type="dxa"/>
            <w:tcMar>
              <w:top w:w="90" w:type="dxa"/>
              <w:left w:w="100" w:type="dxa"/>
              <w:bottom w:w="90" w:type="dxa"/>
              <w:right w:w="100" w:type="dxa"/>
            </w:tcMar>
            <w:vAlign w:val="center"/>
          </w:tcPr>
          <w:p w14:paraId="21441D5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供稿人</w:t>
            </w:r>
            <w:r>
              <w:rPr>
                <w:rFonts w:hint="default" w:asciiTheme="minorEastAsia" w:hAnsiTheme="minorEastAsia" w:eastAsiaTheme="minorEastAsia" w:cstheme="minorEastAsia"/>
                <w:i w:val="0"/>
                <w:iCs w:val="0"/>
                <w:caps w:val="0"/>
                <w:color w:val="0F1115"/>
                <w:spacing w:val="0"/>
                <w:sz w:val="21"/>
                <w:szCs w:val="21"/>
                <w:u w:val="none"/>
                <w:lang w:val="en-US" w:eastAsia="zh-CN"/>
              </w:rPr>
              <w:t>：Jane Cox 和 Emma Williamson (Cornwall County Council / 康沃尔郡议会)</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发布机构：DEAL (Doughnut Economics Action Lab / 甜甜圈经济学行动实验室)</w:t>
            </w:r>
          </w:p>
        </w:tc>
      </w:tr>
      <w:tr w14:paraId="0006028E">
        <w:trPr>
          <w:jc w:val="center"/>
        </w:trPr>
        <w:tc>
          <w:tcPr>
            <w:tcW w:w="2268" w:type="dxa"/>
            <w:shd w:val="clear" w:color="auto" w:fill="EAF2F8"/>
            <w:tcMar>
              <w:top w:w="90" w:type="dxa"/>
              <w:left w:w="100" w:type="dxa"/>
              <w:bottom w:w="90" w:type="dxa"/>
              <w:right w:w="100" w:type="dxa"/>
            </w:tcMar>
            <w:vAlign w:val="center"/>
          </w:tcPr>
          <w:p w14:paraId="5721A11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来源类型</w:t>
            </w:r>
          </w:p>
        </w:tc>
        <w:tc>
          <w:tcPr>
            <w:tcW w:w="6350" w:type="dxa"/>
            <w:tcMar>
              <w:top w:w="90" w:type="dxa"/>
              <w:left w:w="100" w:type="dxa"/>
              <w:bottom w:w="90" w:type="dxa"/>
              <w:right w:w="100" w:type="dxa"/>
            </w:tcMar>
            <w:vAlign w:val="center"/>
          </w:tcPr>
          <w:p w14:paraId="76FB923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官方案例研究</w:t>
            </w:r>
            <w:r>
              <w:rPr>
                <w:rFonts w:hint="default" w:asciiTheme="minorEastAsia" w:hAnsiTheme="minorEastAsia" w:eastAsiaTheme="minorEastAsia" w:cstheme="minorEastAsia"/>
                <w:i w:val="0"/>
                <w:iCs w:val="0"/>
                <w:caps w:val="0"/>
                <w:color w:val="0F1115"/>
                <w:spacing w:val="0"/>
                <w:sz w:val="21"/>
                <w:szCs w:val="21"/>
                <w:u w:val="none"/>
                <w:lang w:val="en-US" w:eastAsia="zh-CN"/>
              </w:rPr>
              <w:t> </w:t>
            </w:r>
          </w:p>
        </w:tc>
      </w:tr>
      <w:tr w14:paraId="0AE39772">
        <w:trPr>
          <w:jc w:val="center"/>
        </w:trPr>
        <w:tc>
          <w:tcPr>
            <w:tcW w:w="2268" w:type="dxa"/>
            <w:shd w:val="clear" w:color="auto" w:fill="EAF2F8"/>
            <w:tcMar>
              <w:top w:w="90" w:type="dxa"/>
              <w:left w:w="100" w:type="dxa"/>
              <w:bottom w:w="90" w:type="dxa"/>
              <w:right w:w="100" w:type="dxa"/>
            </w:tcMar>
            <w:vAlign w:val="center"/>
          </w:tcPr>
          <w:p w14:paraId="55BD077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链接或数据库</w:t>
            </w:r>
          </w:p>
        </w:tc>
        <w:tc>
          <w:tcPr>
            <w:tcW w:w="6350" w:type="dxa"/>
            <w:tcMar>
              <w:top w:w="90" w:type="dxa"/>
              <w:left w:w="100" w:type="dxa"/>
              <w:bottom w:w="90" w:type="dxa"/>
              <w:right w:w="100" w:type="dxa"/>
            </w:tcMar>
            <w:vAlign w:val="center"/>
          </w:tcPr>
          <w:p w14:paraId="32FC4B4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https://doughnuteconomics.org/stories/local-government-case-study-cornwall-uk</w:t>
            </w:r>
          </w:p>
        </w:tc>
      </w:tr>
      <w:tr w14:paraId="192D3F4E">
        <w:trPr>
          <w:trHeight w:val="1029" w:hRule="atLeast"/>
          <w:jc w:val="center"/>
        </w:trPr>
        <w:tc>
          <w:tcPr>
            <w:tcW w:w="2268" w:type="dxa"/>
            <w:shd w:val="clear" w:color="auto" w:fill="EAF2F8"/>
            <w:tcMar>
              <w:top w:w="90" w:type="dxa"/>
              <w:left w:w="100" w:type="dxa"/>
              <w:bottom w:w="90" w:type="dxa"/>
              <w:right w:w="100" w:type="dxa"/>
            </w:tcMar>
            <w:vAlign w:val="center"/>
          </w:tcPr>
          <w:p w14:paraId="5499741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发布时间</w:t>
            </w:r>
          </w:p>
        </w:tc>
        <w:tc>
          <w:tcPr>
            <w:tcW w:w="6350" w:type="dxa"/>
            <w:tcMar>
              <w:top w:w="90" w:type="dxa"/>
              <w:left w:w="100" w:type="dxa"/>
              <w:bottom w:w="90" w:type="dxa"/>
              <w:right w:w="100" w:type="dxa"/>
            </w:tcMar>
            <w:vAlign w:val="center"/>
          </w:tcPr>
          <w:p w14:paraId="7E543EF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2024年</w:t>
            </w:r>
            <w:r>
              <w:rPr>
                <w:rFonts w:hint="default" w:asciiTheme="minorEastAsia" w:hAnsiTheme="minorEastAsia" w:eastAsiaTheme="minorEastAsia" w:cstheme="minorEastAsia"/>
                <w:i w:val="0"/>
                <w:iCs w:val="0"/>
                <w:caps w:val="0"/>
                <w:color w:val="0F1115"/>
                <w:spacing w:val="0"/>
                <w:sz w:val="21"/>
                <w:szCs w:val="21"/>
                <w:u w:val="none"/>
                <w:lang w:val="en-US" w:eastAsia="zh-CN"/>
              </w:rPr>
              <w:t> </w:t>
            </w:r>
          </w:p>
        </w:tc>
      </w:tr>
      <w:tr w14:paraId="32973248">
        <w:trPr>
          <w:jc w:val="center"/>
        </w:trPr>
        <w:tc>
          <w:tcPr>
            <w:tcW w:w="2268" w:type="dxa"/>
            <w:shd w:val="clear" w:color="auto" w:fill="EAF2F8"/>
            <w:tcMar>
              <w:top w:w="90" w:type="dxa"/>
              <w:left w:w="100" w:type="dxa"/>
              <w:bottom w:w="90" w:type="dxa"/>
              <w:right w:w="100" w:type="dxa"/>
            </w:tcMar>
            <w:vAlign w:val="center"/>
          </w:tcPr>
          <w:p w14:paraId="2641F2B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为什么值得收集</w:t>
            </w:r>
          </w:p>
        </w:tc>
        <w:tc>
          <w:tcPr>
            <w:tcW w:w="6350" w:type="dxa"/>
            <w:tcMar>
              <w:top w:w="90" w:type="dxa"/>
              <w:left w:w="100" w:type="dxa"/>
              <w:bottom w:w="90" w:type="dxa"/>
              <w:right w:w="100" w:type="dxa"/>
            </w:tcMar>
            <w:vAlign w:val="center"/>
          </w:tcPr>
          <w:p w14:paraId="5B82D82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这是一份由</w:t>
            </w:r>
            <w:r>
              <w:rPr>
                <w:rFonts w:hint="default" w:asciiTheme="minorEastAsia" w:hAnsiTheme="minorEastAsia" w:eastAsiaTheme="minorEastAsia" w:cstheme="minorEastAsia"/>
                <w:i w:val="0"/>
                <w:iCs w:val="0"/>
                <w:caps w:val="0"/>
                <w:color w:val="0F1115"/>
                <w:spacing w:val="0"/>
                <w:sz w:val="21"/>
                <w:szCs w:val="21"/>
                <w:u w:val="none"/>
                <w:lang w:val="en-US" w:eastAsia="zh-CN"/>
              </w:rPr>
              <w:t>康沃尔郡议会官员直接供稿、由DEAL官方发布的案例研究，是理解康沃尔如何将甜甜圈模型全面制度化的权威一手文件。它清晰地说明了从“气候紧急状态”到“决策轮”再到“康沃尔计划”的制度化路径，并系统总结了CDDW的核心收益、挑战与经验教训，并能与Cornwall Plan形成关键交叉印证。该材料明确提供了启动时间（2019年）、工具发布时间（2020年）和2024年最新进展（审查与改进计划）三条时间线证据，正好能强有力地支撑你研究中的“推进到什么程度”部分</w:t>
            </w:r>
          </w:p>
          <w:p w14:paraId="341E093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tc>
      </w:tr>
      <w:tr w14:paraId="19082FBF">
        <w:trPr>
          <w:jc w:val="center"/>
        </w:trPr>
        <w:tc>
          <w:tcPr>
            <w:tcW w:w="2268" w:type="dxa"/>
            <w:shd w:val="clear" w:color="auto" w:fill="EAF2F8"/>
            <w:tcMar>
              <w:top w:w="90" w:type="dxa"/>
              <w:left w:w="100" w:type="dxa"/>
              <w:bottom w:w="90" w:type="dxa"/>
              <w:right w:w="100" w:type="dxa"/>
            </w:tcMar>
            <w:vAlign w:val="center"/>
          </w:tcPr>
          <w:p w14:paraId="5C210D3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原文</w:t>
            </w:r>
          </w:p>
        </w:tc>
        <w:tc>
          <w:tcPr>
            <w:tcW w:w="6350" w:type="dxa"/>
            <w:tcMar>
              <w:top w:w="90" w:type="dxa"/>
              <w:left w:w="100" w:type="dxa"/>
              <w:bottom w:w="90" w:type="dxa"/>
              <w:right w:w="100" w:type="dxa"/>
            </w:tcMar>
            <w:vAlign w:val="center"/>
          </w:tcPr>
          <w:p w14:paraId="4ED8FCF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This case study is part of DEAL's </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eastAsia="zh-CN"/>
              </w:rPr>
              <w:instrText xml:space="preserve"> HYPERLINK "https://doughnuteconomics.org/tools/cities-regions-let-s-get-started-4-languages" </w:instrTex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eastAsia="zh-CN"/>
              </w:rPr>
              <w:t>Cities &amp; Regions: Let's Get Started</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eastAsia="zh-CN"/>
              </w:rPr>
              <w:t> guide for local governments, where you can find other case studies as well.  </w:t>
            </w:r>
            <w:r>
              <w:rPr>
                <w:rFonts w:hint="default" w:asciiTheme="minorEastAsia" w:hAnsiTheme="minorEastAsia" w:eastAsiaTheme="minorEastAsia" w:cstheme="minorEastAsia"/>
                <w:i w:val="0"/>
                <w:iCs w:val="0"/>
                <w:caps w:val="0"/>
                <w:color w:val="0F1115"/>
                <w:spacing w:val="0"/>
                <w:sz w:val="21"/>
                <w:szCs w:val="21"/>
                <w:u w:val="none"/>
                <w:lang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eastAsia="zh-CN"/>
              </w:rPr>
              <w:t>The material for the story was contributed by  Jane Cox and Emma Williamson (Cornwall County Council), and published in 2024. </w:t>
            </w:r>
            <w:r>
              <w:rPr>
                <w:rFonts w:hint="default" w:asciiTheme="minorEastAsia" w:hAnsiTheme="minorEastAsia" w:eastAsiaTheme="minorEastAsia" w:cstheme="minorEastAsia"/>
                <w:i w:val="0"/>
                <w:iCs w:val="0"/>
                <w:caps w:val="0"/>
                <w:color w:val="0F1115"/>
                <w:spacing w:val="0"/>
                <w:sz w:val="21"/>
                <w:szCs w:val="21"/>
                <w:u w:val="none"/>
                <w:lang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eastAsia="zh-CN"/>
              </w:rPr>
              <w:t>Scroll down or click on the right for versions in Spanish, French and Brazilian Portuguese. </w:t>
            </w:r>
          </w:p>
          <w:p w14:paraId="4532715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Cornwall's story (in English) </w:t>
            </w:r>
          </w:p>
          <w:p w14:paraId="210B70D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Cornwall was one of the first places to base some of their work on Doughnut Economics in 2019. In 2020, they developed the Cornwall Development and Decision Wheel based on the Doughnut, a Council-wide impact assessment tool which is used to assess the positive and negative impacts of a proposed decision or policy. This work was further developed in 2023, with the creation of the Cornwall Plan Annual Review dashboard, an interactive dashboard visualising Cornwall's progress towards achieving the objectives set out in the partnership-led Cornwall Plan.</w:t>
            </w:r>
          </w:p>
          <w:p w14:paraId="01B3B62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About the place</w:t>
            </w:r>
          </w:p>
          <w:p w14:paraId="21F8873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Situated in the South-West of the UK, Cornwall is a mostly rural area with a population of 570,000. The Cornish have a distinct cultural identity, and their own language. Cornwall’s industries rely on its natural resources: three quarters agricultural land, over 400 miles of coastline with thriving tourism and ambitions to progress Floating Offshore Wind (FLOW); and a wealth of metals and minerals below the surface. Cornwall is also the home of the UK’s first licensed spaceport, Spaceport Cornwall.</w:t>
            </w:r>
          </w:p>
          <w:p w14:paraId="43448F6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Why Doughnut Economics</w:t>
            </w:r>
          </w:p>
          <w:p w14:paraId="5A6DE0A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Following their declaration of a climate emergency in January 2019, Cornwall’s Carbon Neutral Cornwall Action Plan provided a clear steer that environmental assessments should be carried out as part of the Council’s decision-making processes and that all decision-making pertaining to climate change mitigation should also look to drive increases in social justice. The Doughnut model was suggested as a way to achieve this.</w:t>
            </w:r>
          </w:p>
          <w:p w14:paraId="4D6DBF5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p>
          <w:p w14:paraId="1761DF4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Lead departments, organisations or partners</w:t>
            </w:r>
          </w:p>
          <w:p w14:paraId="5755308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As the decision wheel was developed, key senior leaders championed the work – namely the Chief Executive, the then Leader and the Portfolio Holder for Climate Change – and there was widespread support across the Council for this new approach to decision-making. The work is led by the Strategy and Policy team within the Strategy and Business Planning Service, with support from colleagues in the Carbon Neutral team. It continues to be championed by senior leaders and elected members.</w:t>
            </w:r>
          </w:p>
          <w:p w14:paraId="5C26A0F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Who else has been involved</w:t>
            </w:r>
          </w:p>
          <w:p w14:paraId="5F8E303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Decision Wheel was developed in-house. The core team worked with members, staff and wider partners and stakeholders to generate the methodology for the decision wheel.</w:t>
            </w:r>
          </w:p>
          <w:p w14:paraId="727514F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Journey to date</w:t>
            </w:r>
          </w:p>
          <w:p w14:paraId="71363F7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Following the Council’s declaration of a climate emergency in January 2019 and a steer towards the need to look at social justice alongside climate change mitigation, the Council developed a tool – the Climate Change Decision Wheel – to ensure these factors are embedded in decision-making with Doughnut Economics at the core, adapted to fit local context. The tool was later expanded to include the Equality and Inclusion wheel. </w:t>
            </w:r>
          </w:p>
          <w:p w14:paraId="56352D4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tool is web-based and accessible to all council staff. The team developing the tool engaged with managers across the organisation to co-design the assessment questions for each of the social and ecological dimensions. </w:t>
            </w:r>
          </w:p>
          <w:p w14:paraId="27479AF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Once the CDDW was introduced, a Steering Group was established to help guide initial application of the tool with training and support put in place for key officers and decision-makers. It was initially used for Cabinet decisions from 2019 and then expanded to all decision-making processes from 2021. The tool is now used as part of all strategy, policy and project development. Some of the examples where the CDDW has been used include, for e.g. Mid-Cornwall Metro Project and the Cornwall Electric Vehicle Infrastructure Strategy. In early 2024, a review of the use of the CDDW was conducted resulting in an action plan with recommendations for improvement. Work has also been done to develop a method to review the cumulative impact of multiple interventions.</w:t>
            </w:r>
          </w:p>
          <w:p w14:paraId="517A316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Building onto this work, the Cornwall Plan Annual Review dashboard was developed. The Cornwall Plan 2020-2050 is the Cornwall and Isles of Scilly (CIOS) Leadership Board’s shared vision.The Plan was refreshed in 2023, and a new approach to measuring progress was adopted, modelled on the CDDW and rooted in Doughnut Economics. The dashboard shows how the Cornwall Plan is performing against the Doughnut’s social (fairer, more inclusive Cornwall) and planetary (greener, cleaner Cornwall) boundaries. The Cornwall Doughnut offers a snapshot of how Cornwall is performing in each area, using the outcomes set in the Cornwall Plan. The Cornwall Plan Doughnut is not a comprehensive assessment of Cornwall but serves as a starting point for big-picture thinking, co-creative innovation and systemic transformation. The Doughnut will support Cornwall’s leadership in seeking holistic reflection on Cornwall’s ambitions and driving meaningful change. </w:t>
            </w:r>
          </w:p>
          <w:p w14:paraId="002F0DE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Key outcomes </w:t>
            </w:r>
          </w:p>
          <w:p w14:paraId="193A916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1) </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eastAsia="zh-CN"/>
              </w:rPr>
              <w:instrText xml:space="preserve"> HYPERLINK "https://www.cornwall.gov.uk/people-and-communities/equality-and-diversity/assessing-the-impact-of-our-decisions/" </w:instrTex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eastAsia="zh-CN"/>
              </w:rPr>
              <w:t>Cornwall Development and Decision Wheel </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end"/>
            </w:r>
          </w:p>
          <w:p w14:paraId="624B4CD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2) </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eastAsia="zh-CN"/>
              </w:rPr>
              <w:instrText xml:space="preserve"> HYPERLINK "https://letstalk.cornwall.gov.uk/cornwall-plan" </w:instrTex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eastAsia="zh-CN"/>
              </w:rPr>
              <w:t>The Cornwall Plan Doughnut (for the Cornwall Plan 2020-2050) </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end"/>
            </w:r>
          </w:p>
          <w:p w14:paraId="1D79967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3) </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eastAsia="zh-CN"/>
              </w:rPr>
              <w:instrText xml:space="preserve"> HYPERLINK "https://letstalk.cornwall.gov.uk/cornwall-plan/stories/cornwall-plan-annual-review-dashboard-2023" </w:instrTex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eastAsia="zh-CN"/>
              </w:rPr>
              <w:t>Cornwall Plan Annual Review Dashboard </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end"/>
            </w:r>
          </w:p>
          <w:p w14:paraId="30DF4DC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Key benefits</w:t>
            </w:r>
          </w:p>
          <w:p w14:paraId="4511A7A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CDDW has been extremely successful in shaping the future direction of the Council’s work. It is embedding a new way of thinking, helping people understand the interconnectedness of our lives with the environment in which we live by demonstrating the trade-offs between generating social, economic and environmental growth. It is focusing the resources of our decision-making structures onto the most relevant issues which now formally include the environment and our impact on it. It is helping to facilitate cross department working, breaking away from siloed thinking. </w:t>
            </w:r>
          </w:p>
          <w:p w14:paraId="53199F8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Main challenges </w:t>
            </w:r>
          </w:p>
          <w:p w14:paraId="3E653B8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Considerable resource and time needed to develop and embed the tool across the council. Some see it as an additional process, or at least initially, although this does decline with time and support. It is not always adopted early enough in project and policy planning to really help influence/drive thinking, though again that is improving over time as the CDDW becomes embedded. There are different views on impacts which need to be moderated; this can be difficult and time-consuming. </w:t>
            </w:r>
          </w:p>
          <w:p w14:paraId="721317D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Lessons learnt </w:t>
            </w:r>
          </w:p>
          <w:p w14:paraId="0A478F0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It is important that anyone considering integrating such a process into decision making understands the resources and technical skills required, and take time considering what is achievable before they start out. Demands include the time and cost of developing the tool, as well as training and familiarisation sessions. To address this, we decided to deliver the training in an agile way, focusing on those likely to use the tool initially. It is vital to develop an internal communications plan to help make everyone aware of the reasons for the change and how the new decision-making process will work. Buy in from the highest levels within the Council is also essential to its success. Cornwall Council’s Chief Executive and senior leadership team are firm proponents of the use of the CDDW and this has helped in its widespread adoption. </w:t>
            </w:r>
          </w:p>
          <w:p w14:paraId="68472D3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p>
          <w:p w14:paraId="7F35208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To learn more </w:t>
            </w:r>
          </w:p>
          <w:p w14:paraId="39F4FD5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eastAsia="zh-CN"/>
              </w:rPr>
              <w:instrText xml:space="preserve"> HYPERLINK "https://vimeo.com/1003662211/1ba9eef30e?share=copy" </w:instrTex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eastAsia="zh-CN"/>
              </w:rPr>
              <w:t>Video introduction of the CDDW</w:t>
            </w:r>
            <w:r>
              <w:rPr>
                <w:rFonts w:hint="default" w:asciiTheme="minorEastAsia" w:hAnsiTheme="minorEastAsia" w:eastAsiaTheme="minorEastAsia" w:cstheme="minorEastAsia"/>
                <w:i w:val="0"/>
                <w:iCs w:val="0"/>
                <w:caps w:val="0"/>
                <w:color w:val="0F1115"/>
                <w:spacing w:val="0"/>
                <w:sz w:val="21"/>
                <w:szCs w:val="21"/>
                <w:u w:val="none"/>
                <w:lang w:eastAsia="zh-CN"/>
              </w:rPr>
              <w:fldChar w:fldCharType="end"/>
            </w:r>
          </w:p>
          <w:p w14:paraId="4BABDE2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tc>
      </w:tr>
      <w:tr w14:paraId="59955906">
        <w:trPr>
          <w:jc w:val="center"/>
        </w:trPr>
        <w:tc>
          <w:tcPr>
            <w:tcW w:w="2268" w:type="dxa"/>
            <w:shd w:val="clear" w:color="auto" w:fill="EAF2F8"/>
            <w:tcMar>
              <w:top w:w="90" w:type="dxa"/>
              <w:left w:w="100" w:type="dxa"/>
              <w:bottom w:w="90" w:type="dxa"/>
              <w:right w:w="100" w:type="dxa"/>
            </w:tcMar>
            <w:vAlign w:val="center"/>
          </w:tcPr>
          <w:p w14:paraId="61C8806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中文翻译</w:t>
            </w:r>
          </w:p>
        </w:tc>
        <w:tc>
          <w:tcPr>
            <w:tcW w:w="6350" w:type="dxa"/>
            <w:tcMar>
              <w:top w:w="90" w:type="dxa"/>
              <w:left w:w="100" w:type="dxa"/>
              <w:bottom w:w="90" w:type="dxa"/>
              <w:right w:w="100" w:type="dxa"/>
            </w:tcMar>
            <w:vAlign w:val="center"/>
          </w:tcPr>
          <w:p w14:paraId="2F8070B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本案例研究是DEAL为地方政府编写的《城市与地区：让我们开始吧》指南的一部分，您可以在其中找到其他案例研究。</w:t>
            </w:r>
            <w:r>
              <w:rPr>
                <w:rFonts w:hint="default" w:asciiTheme="minorEastAsia" w:hAnsiTheme="minorEastAsia" w:eastAsiaTheme="minorEastAsia" w:cstheme="minorEastAsia"/>
                <w:i w:val="0"/>
                <w:iCs w:val="0"/>
                <w:caps w:val="0"/>
                <w:color w:val="0F1115"/>
                <w:spacing w:val="0"/>
                <w:sz w:val="21"/>
                <w:szCs w:val="21"/>
                <w:u w:val="none"/>
                <w:lang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eastAsia="zh-CN"/>
              </w:rPr>
              <w:t>该故事的素材由Jane Cox和Emma Williamson（康沃尔郡议会）提供，并于2024年发布。</w:t>
            </w:r>
          </w:p>
          <w:p w14:paraId="473D60B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向下滚动或点击右侧可查看西班牙语、法语和巴西葡萄牙语版本。</w:t>
            </w:r>
          </w:p>
          <w:p w14:paraId="5869CFA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康沃尔的故事（英文版）</w:t>
            </w:r>
          </w:p>
          <w:p w14:paraId="45E0E9F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康沃尔是2019年最早将部分工作建立在甜甜圈经济学基础上的地方之一。2020年，他们基于甜甜圈开发了康沃尔发展与决策轮（CDDW），这是一款议会范围的影响评估工具，用于评估拟议决策或政策的正面和负面影响。这项工作在2023年得到了进一步发展，创建了“康沃尔计划年度审查仪表板”，这是一个交互式仪表板，可视化展示了康沃尔在实现由合作伙伴主导的《康沃尔计划》所设定目标方面的进展。</w:t>
            </w:r>
          </w:p>
          <w:p w14:paraId="4E3E939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关于这个地方</w:t>
            </w:r>
          </w:p>
          <w:p w14:paraId="2F2483B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康沃尔位于英国西南部，大部分为农村地区，人口57万。康沃尔人拥有独特的文化认同和自己的语言。康沃尔的产业依赖其自然资源：四分之三的土地为农业用地，拥有400多英里的海岸线，旅游业蓬勃发展，并雄心勃勃地推进浮式海上风电（FLOW）；地表下还蕴藏着丰富的金属和矿物。康沃尔也是英国第一个获得许可的太空港——康沃尔太空港的所在地。</w:t>
            </w:r>
          </w:p>
          <w:p w14:paraId="120FF40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为什么采用甜甜圈经济学</w:t>
            </w:r>
          </w:p>
          <w:p w14:paraId="24AE27A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在2019年1月宣布气候紧急状态后，康沃尔的《碳中和康沃尔行动计划》明确指示，环境评估应作为议会决策过程的一部分进行，并且所有与减缓气候变化相关的决策也应着眼于推动社会正义的提升。甜甜圈模型被建议作为实现这一目标的方法。</w:t>
            </w:r>
          </w:p>
          <w:p w14:paraId="25FB9ED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牵头部门、组织或合作伙伴</w:t>
            </w:r>
          </w:p>
          <w:p w14:paraId="3CCA107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随着决策轮的开发，关键的高级领导层——特别是首席执行官、当时的领导人和气候变化事务负责人——成为了这项工作的倡导者，议会内部对这一新的决策方法给予了广泛支持。这项工作由战略与业务规划服务部门内的战略与政策团队领导，并得到碳中和团队同事的支持。它继续得到高级领导人和当选成员的支持。</w:t>
            </w:r>
          </w:p>
          <w:p w14:paraId="578D013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还有谁参与了</w:t>
            </w:r>
          </w:p>
          <w:p w14:paraId="599EDCD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决策轮是内部开发的。核心团队与成员、员工以及更广泛的合作伙伴和利益相关者合作，为决策轮生成了方法论。</w:t>
            </w:r>
          </w:p>
          <w:p w14:paraId="44FEB1F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迄今的历程</w:t>
            </w:r>
          </w:p>
          <w:p w14:paraId="1A3265F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继议会于2019年1月宣布气候紧急状态并指示在减缓气候变化的同时关注社会正义之后，议会开发了一个工具——气候变化决策轮——以确保这些因素被纳入决策过程，该工具以甜甜圈经济学为核心，并根据当地情况进行调整。该工具后来被扩展，包含了平等与包容轮。该工具基于网络，所有议会工作人员均可访问。开发该工具的团队与整个组织的管理者合作，共同为每个社会和生态维度设计评估问题。</w:t>
            </w:r>
          </w:p>
          <w:p w14:paraId="3168166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DDW引入后，成立了一个指导小组，帮助指导该工具的初步应用，并为关键官员和决策者提供了培训和支持。从2019年起，该工具最初用于内阁决策，然后从2021年起扩展到所有决策过程。该工具现在被用作所有战略、政策和项目开发的一部分。CDDW使用的一些例子包括：中康沃尔地铁项目和康沃尔电动汽车基础设施战略。2024年初，对CDDW的使用进行了一次审查，并制定了一项包含改进建议的行动计划。还开展了工作，以开发一种审查多种干预措施累积影响的方法。</w:t>
            </w:r>
          </w:p>
          <w:p w14:paraId="215D7A3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在此工作的基础上，开发了“康沃尔计划年度审查仪表板”。《康沃尔计划2020-2050》是康沃尔和锡利群岛（CIOS）领导委员会的共同愿景。该计划于2023年进行了更新，并采用了一种新的进展衡量方法，该方法以CDDW为模型，植根于甜甜圈经济学。该仪表板显示了《康沃尔计划》在甜甜圈的社会边界（更公平、更具包容性的康沃尔）和地球边界（更绿色、更清洁的康沃尔）方面的表现。康沃尔甜甜圈利用《康沃尔计划》中设定的成果，简要展示了康沃尔在每一个领域的表现。《康沃尔计划》甜甜圈不是对康沃尔的全面评估，而是作为宏观思维、共同创造创新和系统性变革的起点。甜甜圈将支持康沃尔的领导层寻求对康沃尔雄心的整体反思，并推动有意义的变革。</w:t>
            </w:r>
          </w:p>
          <w:p w14:paraId="728A403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关键成果</w:t>
            </w:r>
          </w:p>
          <w:p w14:paraId="735A50D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康沃尔发展与决策轮（CDDW）</w:t>
            </w:r>
          </w:p>
          <w:p w14:paraId="55F88B2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康沃尔计划甜甜圈（用于《康沃尔计划2020-2050》）</w:t>
            </w:r>
          </w:p>
          <w:p w14:paraId="27DAD3B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康沃尔计划年度审查仪表板</w:t>
            </w:r>
          </w:p>
          <w:p w14:paraId="1260663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主要收益</w:t>
            </w:r>
          </w:p>
          <w:p w14:paraId="72EDB2C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DDW在塑造议会工作的未来方向方面极为成功。它正在嵌入一种新的思维方式，通过展示社会、经济和环境增长之间的权衡关系，帮助人们理解我们的生活与我们生活的环境之间的相互联系。它正在将我们决策结构的资源集中于最相关的问题，这些问题现在正式包括环境以及我们对环境的影响。它正在帮助促进跨部门工作，打破孤立的思维模式。</w:t>
            </w:r>
          </w:p>
          <w:p w14:paraId="55B7259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主要挑战</w:t>
            </w:r>
          </w:p>
          <w:p w14:paraId="23B21F6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在整个议会中开发和嵌入该工具需要大量的资源和时间。有些人将其视为一个额外的过程，至少最初是这样，尽管随着时间的推移和提供的支持，这种感觉会减少。该工具并不总是在项目和政策规划的足够早期阶段被采用，以真正影响或驱动思维，不过随着CDDW的逐步嵌入，这种情况正在改善。关于影响存在不同的观点，需要进行调和，这可能既困难又耗时。</w:t>
            </w:r>
          </w:p>
          <w:p w14:paraId="242E253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经验教训</w:t>
            </w:r>
          </w:p>
          <w:p w14:paraId="11B7092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任何考虑将这样一个过程整合到决策中的人，都必须了解所需的资源和技术技能，并在开始之前花时间考虑什么是可实现的。需求包括开发工具的时间和成本，以及培训和熟悉课程。为了解决这个问题，我们决定以灵活的方式提供培训，重点是最初可能使用该工具的人。制定内部沟通计划至关重要，以帮助每个人了解变革的原因以及新的决策过程将如何运作。议会最高层的支持对其成功也至关重要。康沃尔郡议会的首席执行官和高级领导团队是使用CDDW的坚定支持者，这有助于其广泛采用。</w:t>
            </w:r>
          </w:p>
        </w:tc>
      </w:tr>
      <w:tr w14:paraId="2F4B4970">
        <w:trPr>
          <w:jc w:val="center"/>
        </w:trPr>
        <w:tc>
          <w:tcPr>
            <w:tcW w:w="2268" w:type="dxa"/>
            <w:shd w:val="clear" w:color="auto" w:fill="EAF2F8"/>
            <w:tcMar>
              <w:top w:w="90" w:type="dxa"/>
              <w:left w:w="100" w:type="dxa"/>
              <w:bottom w:w="90" w:type="dxa"/>
              <w:right w:w="100" w:type="dxa"/>
            </w:tcMar>
            <w:vAlign w:val="center"/>
          </w:tcPr>
          <w:p w14:paraId="541546B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你的判断</w:t>
            </w:r>
          </w:p>
        </w:tc>
        <w:tc>
          <w:tcPr>
            <w:tcW w:w="6350" w:type="dxa"/>
            <w:tcMar>
              <w:top w:w="90" w:type="dxa"/>
              <w:left w:w="100" w:type="dxa"/>
              <w:bottom w:w="90" w:type="dxa"/>
              <w:right w:w="100" w:type="dxa"/>
            </w:tcMar>
            <w:vAlign w:val="center"/>
          </w:tcPr>
          <w:p w14:paraId="4652BBC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是否可用于论文：</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核心文献  □辅助文献  □备用资料</w:t>
            </w:r>
            <w:r>
              <w:rPr>
                <w:rFonts w:hint="eastAsia" w:asciiTheme="minorEastAsia" w:hAnsiTheme="minorEastAsia" w:eastAsiaTheme="minorEastAsia" w:cstheme="minorEastAsia"/>
                <w:i w:val="0"/>
                <w:iCs w:val="0"/>
                <w:caps w:val="0"/>
                <w:color w:val="0F1115"/>
                <w:spacing w:val="0"/>
                <w:sz w:val="21"/>
                <w:szCs w:val="21"/>
                <w:u w:val="none"/>
                <w:lang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eastAsia="zh-CN"/>
              </w:rPr>
              <w:t>可信度：</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高  □中  □低</w:t>
            </w:r>
          </w:p>
        </w:tc>
      </w:tr>
    </w:tbl>
    <w:p w14:paraId="5E43A70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 xml:space="preserve">文献 </w:t>
      </w:r>
      <w:r>
        <w:rPr>
          <w:rFonts w:hint="eastAsia" w:asciiTheme="minorEastAsia" w:hAnsiTheme="minorEastAsia" w:eastAsiaTheme="minorEastAsia" w:cstheme="minorEastAsia"/>
          <w:i w:val="0"/>
          <w:iCs w:val="0"/>
          <w:caps w:val="0"/>
          <w:color w:val="0F1115"/>
          <w:spacing w:val="0"/>
          <w:sz w:val="21"/>
          <w:szCs w:val="21"/>
          <w:u w:val="none"/>
          <w:lang w:val="en-US" w:eastAsia="zh-CN"/>
        </w:rPr>
        <w:t>5</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2"/>
        <w:gridCol w:w="6644"/>
      </w:tblGrid>
      <w:tr w14:paraId="7671B575">
        <w:trPr>
          <w:jc w:val="center"/>
        </w:trPr>
        <w:tc>
          <w:tcPr>
            <w:tcW w:w="2268" w:type="dxa"/>
            <w:shd w:val="clear" w:color="auto" w:fill="EAF2F8"/>
            <w:tcMar>
              <w:top w:w="90" w:type="dxa"/>
              <w:left w:w="100" w:type="dxa"/>
              <w:bottom w:w="90" w:type="dxa"/>
              <w:right w:w="100" w:type="dxa"/>
            </w:tcMar>
            <w:vAlign w:val="center"/>
          </w:tcPr>
          <w:p w14:paraId="6CAF875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文献题目</w:t>
            </w:r>
          </w:p>
        </w:tc>
        <w:tc>
          <w:tcPr>
            <w:tcW w:w="6350" w:type="dxa"/>
            <w:tcMar>
              <w:top w:w="90" w:type="dxa"/>
              <w:left w:w="100" w:type="dxa"/>
              <w:bottom w:w="90" w:type="dxa"/>
              <w:right w:w="100" w:type="dxa"/>
            </w:tcMar>
            <w:vAlign w:val="center"/>
          </w:tcPr>
          <w:p w14:paraId="2BD0868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Cornwall Council: Doughnut economics in council decision making – revisiting</w:t>
            </w:r>
          </w:p>
          <w:p w14:paraId="77D26D4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tc>
      </w:tr>
      <w:tr w14:paraId="139D4735">
        <w:trPr>
          <w:jc w:val="center"/>
        </w:trPr>
        <w:tc>
          <w:tcPr>
            <w:tcW w:w="2268" w:type="dxa"/>
            <w:shd w:val="clear" w:color="auto" w:fill="EAF2F8"/>
            <w:tcMar>
              <w:top w:w="90" w:type="dxa"/>
              <w:left w:w="100" w:type="dxa"/>
              <w:bottom w:w="90" w:type="dxa"/>
              <w:right w:w="100" w:type="dxa"/>
            </w:tcMar>
            <w:vAlign w:val="center"/>
          </w:tcPr>
          <w:p w14:paraId="5719DFA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作者/机构</w:t>
            </w:r>
          </w:p>
        </w:tc>
        <w:tc>
          <w:tcPr>
            <w:tcW w:w="6350" w:type="dxa"/>
            <w:tcMar>
              <w:top w:w="90" w:type="dxa"/>
              <w:left w:w="100" w:type="dxa"/>
              <w:bottom w:w="90" w:type="dxa"/>
              <w:right w:w="100" w:type="dxa"/>
            </w:tcMar>
            <w:vAlign w:val="center"/>
          </w:tcPr>
          <w:p w14:paraId="247BACF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L</w:t>
            </w:r>
            <w:r>
              <w:rPr>
                <w:rFonts w:hint="default" w:asciiTheme="minorEastAsia" w:hAnsiTheme="minorEastAsia" w:eastAsiaTheme="minorEastAsia" w:cstheme="minorEastAsia"/>
                <w:i w:val="0"/>
                <w:iCs w:val="0"/>
                <w:caps w:val="0"/>
                <w:color w:val="0F1115"/>
                <w:spacing w:val="0"/>
                <w:sz w:val="21"/>
                <w:szCs w:val="21"/>
                <w:u w:val="none"/>
                <w:lang w:val="en-US" w:eastAsia="zh-CN"/>
              </w:rPr>
              <w:t xml:space="preserve">ocal Government Association(LGA) </w:t>
            </w:r>
          </w:p>
        </w:tc>
      </w:tr>
      <w:tr w14:paraId="48AA61D0">
        <w:trPr>
          <w:jc w:val="center"/>
        </w:trPr>
        <w:tc>
          <w:tcPr>
            <w:tcW w:w="2268" w:type="dxa"/>
            <w:shd w:val="clear" w:color="auto" w:fill="EAF2F8"/>
            <w:tcMar>
              <w:top w:w="90" w:type="dxa"/>
              <w:left w:w="100" w:type="dxa"/>
              <w:bottom w:w="90" w:type="dxa"/>
              <w:right w:w="100" w:type="dxa"/>
            </w:tcMar>
            <w:vAlign w:val="center"/>
          </w:tcPr>
          <w:p w14:paraId="3C58CD9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来源类型</w:t>
            </w:r>
          </w:p>
        </w:tc>
        <w:tc>
          <w:tcPr>
            <w:tcW w:w="6350" w:type="dxa"/>
            <w:tcMar>
              <w:top w:w="90" w:type="dxa"/>
              <w:left w:w="100" w:type="dxa"/>
              <w:bottom w:w="90" w:type="dxa"/>
              <w:right w:w="100" w:type="dxa"/>
            </w:tcMar>
            <w:vAlign w:val="center"/>
          </w:tcPr>
          <w:p w14:paraId="4804C1E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官方机构案例研究</w:t>
            </w:r>
          </w:p>
        </w:tc>
      </w:tr>
      <w:tr w14:paraId="3B478AD8">
        <w:trPr>
          <w:jc w:val="center"/>
        </w:trPr>
        <w:tc>
          <w:tcPr>
            <w:tcW w:w="2268" w:type="dxa"/>
            <w:shd w:val="clear" w:color="auto" w:fill="EAF2F8"/>
            <w:tcMar>
              <w:top w:w="90" w:type="dxa"/>
              <w:left w:w="100" w:type="dxa"/>
              <w:bottom w:w="90" w:type="dxa"/>
              <w:right w:w="100" w:type="dxa"/>
            </w:tcMar>
            <w:vAlign w:val="center"/>
          </w:tcPr>
          <w:p w14:paraId="317F00C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链接或数据库</w:t>
            </w:r>
          </w:p>
        </w:tc>
        <w:tc>
          <w:tcPr>
            <w:tcW w:w="6350" w:type="dxa"/>
            <w:tcMar>
              <w:top w:w="90" w:type="dxa"/>
              <w:left w:w="100" w:type="dxa"/>
              <w:bottom w:w="90" w:type="dxa"/>
              <w:right w:w="100" w:type="dxa"/>
            </w:tcMar>
            <w:vAlign w:val="center"/>
          </w:tcPr>
          <w:p w14:paraId="65E8EA6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https://www.local.gov.uk/case-studies/cornwall-council-doughnut-economics</w:t>
            </w:r>
          </w:p>
        </w:tc>
      </w:tr>
      <w:tr w14:paraId="3E9091F0">
        <w:trPr>
          <w:jc w:val="center"/>
        </w:trPr>
        <w:tc>
          <w:tcPr>
            <w:tcW w:w="2268" w:type="dxa"/>
            <w:shd w:val="clear" w:color="auto" w:fill="EAF2F8"/>
            <w:tcMar>
              <w:top w:w="90" w:type="dxa"/>
              <w:left w:w="100" w:type="dxa"/>
              <w:bottom w:w="90" w:type="dxa"/>
              <w:right w:w="100" w:type="dxa"/>
            </w:tcMar>
            <w:vAlign w:val="center"/>
          </w:tcPr>
          <w:p w14:paraId="45371B8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发布时间</w:t>
            </w:r>
          </w:p>
        </w:tc>
        <w:tc>
          <w:tcPr>
            <w:tcW w:w="6350" w:type="dxa"/>
            <w:tcMar>
              <w:top w:w="90" w:type="dxa"/>
              <w:left w:w="100" w:type="dxa"/>
              <w:bottom w:w="90" w:type="dxa"/>
              <w:right w:w="100" w:type="dxa"/>
            </w:tcMar>
            <w:vAlign w:val="center"/>
          </w:tcPr>
          <w:p w14:paraId="7BED1CF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2022年11月4日</w:t>
            </w:r>
          </w:p>
        </w:tc>
      </w:tr>
      <w:tr w14:paraId="16F7A44F">
        <w:trPr>
          <w:jc w:val="center"/>
        </w:trPr>
        <w:tc>
          <w:tcPr>
            <w:tcW w:w="2268" w:type="dxa"/>
            <w:shd w:val="clear" w:color="auto" w:fill="EAF2F8"/>
            <w:tcMar>
              <w:top w:w="90" w:type="dxa"/>
              <w:left w:w="100" w:type="dxa"/>
              <w:bottom w:w="90" w:type="dxa"/>
              <w:right w:w="100" w:type="dxa"/>
            </w:tcMar>
            <w:vAlign w:val="center"/>
          </w:tcPr>
          <w:p w14:paraId="7520392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为什么值得收集</w:t>
            </w:r>
          </w:p>
        </w:tc>
        <w:tc>
          <w:tcPr>
            <w:tcW w:w="6350" w:type="dxa"/>
            <w:tcMar>
              <w:top w:w="90" w:type="dxa"/>
              <w:left w:w="100" w:type="dxa"/>
              <w:bottom w:w="90" w:type="dxa"/>
              <w:right w:w="100" w:type="dxa"/>
            </w:tcMar>
            <w:vAlign w:val="center"/>
          </w:tcPr>
          <w:p w14:paraId="715BA7B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这是</w:t>
            </w:r>
            <w:r>
              <w:rPr>
                <w:rFonts w:hint="default" w:asciiTheme="minorEastAsia" w:hAnsiTheme="minorEastAsia" w:eastAsiaTheme="minorEastAsia" w:cstheme="minorEastAsia"/>
                <w:i w:val="0"/>
                <w:iCs w:val="0"/>
                <w:caps w:val="0"/>
                <w:color w:val="0F1115"/>
                <w:spacing w:val="0"/>
                <w:sz w:val="21"/>
                <w:szCs w:val="21"/>
                <w:u w:val="none"/>
                <w:lang w:val="en-US" w:eastAsia="zh-CN"/>
              </w:rPr>
              <w:t>地方政府协会 (LGA) 在 CDDW 投入使用三年后的官方评估报告，是检验康沃尔“甜甜圈”计划从理论到实践成效的关键节点文件。它不仅总结了工具的应用效果（跨部门协作、打破孤岛思维），也直面了实践中的挑战（资源投入、接受度），此外还提供了训练投入、技术平台开发、行动学习小组等具体操作细节，对于回答“推进中遇到了什么问题”以及“如何维持”提供了宝贵的一手经验</w:t>
            </w:r>
          </w:p>
          <w:p w14:paraId="7DAA360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tc>
      </w:tr>
      <w:tr w14:paraId="6592C3DE">
        <w:trPr>
          <w:jc w:val="center"/>
        </w:trPr>
        <w:tc>
          <w:tcPr>
            <w:tcW w:w="2268" w:type="dxa"/>
            <w:shd w:val="clear" w:color="auto" w:fill="EAF2F8"/>
            <w:tcMar>
              <w:top w:w="90" w:type="dxa"/>
              <w:left w:w="100" w:type="dxa"/>
              <w:bottom w:w="90" w:type="dxa"/>
              <w:right w:w="100" w:type="dxa"/>
            </w:tcMar>
            <w:vAlign w:val="center"/>
          </w:tcPr>
          <w:p w14:paraId="50491A4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原文</w:t>
            </w:r>
          </w:p>
        </w:tc>
        <w:tc>
          <w:tcPr>
            <w:tcW w:w="6350" w:type="dxa"/>
            <w:tcMar>
              <w:top w:w="90" w:type="dxa"/>
              <w:left w:w="100" w:type="dxa"/>
              <w:bottom w:w="90" w:type="dxa"/>
              <w:right w:w="100" w:type="dxa"/>
            </w:tcMar>
            <w:vAlign w:val="center"/>
          </w:tcPr>
          <w:p w14:paraId="38C3990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val="en-US" w:eastAsia="zh-CN"/>
              </w:rPr>
              <w:t>Cornwall Council have been using the Cornwall Development and Decision Wheel (CDDW) for cabinet decisions since September 2019. The CDDW is based on Doughnut Economics. It has been used to illustrate the positive and negative impacts of the decision being proposed in an easily accessible form that draws decision-makers to key issues that may require further debate, mitigation or even cancellation. Three years into using the CDDW, we have revisited them to understand what Cornwall Council have learnt from embedding it in Cabinet and other decisions and the impact it has had.</w:t>
            </w:r>
          </w:p>
          <w:p w14:paraId="06295E7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challenge</w:t>
            </w:r>
          </w:p>
          <w:p w14:paraId="188754B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Since September 2019 every decision which has come to Cabinet has been through the CDDW which is based on the Doughnut Economics model pioneered by Kate Raworth. This aims to balance the boundaries of a thriving society with those of a thriving planet with the goal being to find the sweet spot wherein both can thrive, as threats to either could be potentially catastrophic.</w:t>
            </w:r>
          </w:p>
          <w:p w14:paraId="0D175C1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To ensure the CDDW was effective and subsequently rolled out to all decision-making, the council have invested in the development of a technical platform and a programme of training and support to build competencies across the organisation. Without this investment in technology and training, the ability of decision makers to make well-informed decisions based on accurate and informative impact assessments, would be at risk.</w:t>
            </w:r>
          </w:p>
          <w:p w14:paraId="04643AE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solution</w:t>
            </w:r>
          </w:p>
          <w:p w14:paraId="256EF2F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To increase the ease of use of the CDDW and to improve its data collection potential and the robustness of its methodology, investing in a digital platform was essential. The new tool is accessible to all, interactive, and like the initial tool, relies on quantitative answers to its questions to assign scores to all of the separate segments. Users can revisit the questions at any time allowing it to become a living tool that policy and project leads can use throughout the design stages ahead of decision making.</w:t>
            </w:r>
          </w:p>
          <w:p w14:paraId="3F7CDD4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Whilst a lot of effort has gone into building a level of quality assurance into the tool itself, we recognised that it would only be as good as the person utilising it. We established a Steering Group to guide initial application of the tool and focused on the Council’s officers in policy and project development roles.</w:t>
            </w:r>
          </w:p>
          <w:p w14:paraId="66C4C35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Once we had decided which staff in the organisation would be initially utilising the decision wheel, we started to develop the required support and training. We ensured that we had the right technical support so that staff could effectively use the digital tool. We then focused on creating the necessary environment to implement the wheel, allowing us to learn about the process and alter the training and technical support in line with staff needs.</w:t>
            </w:r>
          </w:p>
          <w:p w14:paraId="1031CF7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One thing that we recognised early on in the process, was that the training and support required to use the CDDW effectively would be an ongoing, iterative process. Action learning sets with relevant policy and project officers are established to collaboratively work through and determine potential alterations and to challenge what is being presented. Though this can be a resource intensive way of working, the benefit of this approach has been realised through the speed in which staff developed their ability to apply the decision wheel and in the quality of the work presented.</w:t>
            </w:r>
          </w:p>
          <w:p w14:paraId="5FD79F5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Our use of Action learning sets also acted as a level of scrutiny which helped improve the quality of the impact assessments going to decision-makers, ensuring all impacts were properly recognised. The Sets are comprised of experts in their respective fields within the Directorate. Training was also provided to these experts in how the CDDW should be used.</w:t>
            </w:r>
          </w:p>
          <w:p w14:paraId="4DC8A7A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Providing training and guidance to key decision makers has also been a key focus. As we welcomed a new administration in May 2021, we recognised the need to provide our new cabinet members with an in-depth overview of the tool.</w:t>
            </w:r>
          </w:p>
          <w:p w14:paraId="7E4967F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We ran workshops that focused on how the decision-making tool is used by staff, how staff developed the reports that sit alongside decisions and how members should probe the rationale behind the information within the reports. The workshops were successful in supporting members to understand the value of the tool and to trust the output. To supplement the workshops, a wider member briefing session was also held.</w:t>
            </w:r>
          </w:p>
          <w:p w14:paraId="6ED7C57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tool is continuously evolving. Most recently we incorporated our equality impact assessment into the decision wheel. This has helped to streamline and simplify the council’s processes. With the new digital tool, we are working to ensure that it has cross council buy in, going from strength to strength in terms of outputs and usability. The CDDW has been expanded to decision-making processes throughout the council, including Overview and Scrutiny Committees, Individual Portfolio Holder decisions and it is also being used as part of all strategy, policy and project development. We have also developed a method to review the cumulative impact of multiple policy and project interventions such as the setting of mid-term financial strategies.</w:t>
            </w:r>
          </w:p>
          <w:p w14:paraId="554F564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impact</w:t>
            </w:r>
          </w:p>
          <w:p w14:paraId="1128B74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CDDW has been extremely successful in shaping the future direction of the Council’s work. It is embedding a new way of thinking, helping people understand the inter-connectedness of our lives with the environment in which we live by demonstrating the trade-offs between generating social, economic and environmental growth. It is focusing the resources of our decision-making structures onto the most relevant issues which now formally include the environment and our impact on it. It is helping to facilitate cross department working, breaking away from siloed thinking.</w:t>
            </w:r>
          </w:p>
          <w:p w14:paraId="438D2A2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How is the new approach being sustained?</w:t>
            </w:r>
          </w:p>
          <w:p w14:paraId="59E5E9A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CDDW has now been embedded throughout Cornwall Council’s processes. We are keen to ensure that the value of such a process is seen by all staff and members, to continue to win more hearts and minds. We are working on improving our internal communications to help demonstrate to everyone in the council the value of the tool and to build on the positive energy we currently have.</w:t>
            </w:r>
          </w:p>
          <w:p w14:paraId="021FC91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 key element of utilising the tool is recognising that it must evolve if it is to continue to be effective in supporting decision making. We have a small team who support on all the above work, while also focusing on developing the CDDW, so that it meets current needs. This requires us to generate, review and alter the methodology we use for the tool, so that it recognises changes in government policy and climate change research.</w:t>
            </w:r>
          </w:p>
          <w:p w14:paraId="5D25969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Lessons learned</w:t>
            </w:r>
          </w:p>
          <w:p w14:paraId="35E9972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It is important that anyone considering integrating such a process into decision making understands the resources and technical skills required.  We would recommend councils take time considering what is achievable before they start out.</w:t>
            </w:r>
          </w:p>
          <w:p w14:paraId="233E8CF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Our processes include an independent review of all completed CDDWs. Such an approach can be time consuming, however, it adds a necessary element of challenge. We would, recommend councils consider the impact this step in the process might have on their ability to deliver.</w:t>
            </w:r>
          </w:p>
          <w:p w14:paraId="5097ACF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Providing training across all departments to relevant staff to ensure that they are up to speed takes time and commitment. To address this, we decided to deliver the training and support in an agile way, focusing on those likely to use the tool initially.</w:t>
            </w:r>
          </w:p>
          <w:p w14:paraId="61C5508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It is vital to develop an internal communications plan to help make everyone aware of the reasons for the change and how the new decision-making process will work.</w:t>
            </w:r>
          </w:p>
          <w:p w14:paraId="6E00C13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Buy in from the highest levels within the Council is also essential to its success. Cornwall Council’s Chief Executive is a firm proponent of the use of the CDDW and this has helped in its widespread adoption.</w:t>
            </w:r>
          </w:p>
          <w:p w14:paraId="7BB0439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firstLine="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We have worked with members, staff and wider partners and stakeholders to generate the methodology for the decision-making wheel. However, this is based on our geography, economy, community, assets, etc. This will be different for each council, making it vital that if you decide to create your own decision wheel, that you generate your own methodology to get the best out of the tool.</w:t>
            </w:r>
          </w:p>
        </w:tc>
      </w:tr>
      <w:tr w14:paraId="543610E4">
        <w:trPr>
          <w:jc w:val="center"/>
        </w:trPr>
        <w:tc>
          <w:tcPr>
            <w:tcW w:w="2268" w:type="dxa"/>
            <w:shd w:val="clear" w:color="auto" w:fill="EAF2F8"/>
            <w:tcMar>
              <w:top w:w="90" w:type="dxa"/>
              <w:left w:w="100" w:type="dxa"/>
              <w:bottom w:w="90" w:type="dxa"/>
              <w:right w:w="100" w:type="dxa"/>
            </w:tcMar>
            <w:vAlign w:val="center"/>
          </w:tcPr>
          <w:p w14:paraId="3931FB0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中文翻译</w:t>
            </w:r>
          </w:p>
        </w:tc>
        <w:tc>
          <w:tcPr>
            <w:tcW w:w="6350" w:type="dxa"/>
            <w:tcMar>
              <w:top w:w="90" w:type="dxa"/>
              <w:left w:w="100" w:type="dxa"/>
              <w:bottom w:w="90" w:type="dxa"/>
              <w:right w:w="100" w:type="dxa"/>
            </w:tcMar>
            <w:vAlign w:val="center"/>
          </w:tcPr>
          <w:p w14:paraId="223E93E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康沃尔郡议会：甜甜圈经济学在议会决策中的应用——回顾</w:t>
            </w:r>
          </w:p>
          <w:p w14:paraId="4AD10C2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自2019年9月起，康沃尔郡议会一直将康沃尔发展与决策轮（CDDW）用于内阁决策。CDDW以甜甜圈经济学为基础。它以一种易于获取的形式展示拟议决策的正面和负面影响，从而将决策者的注意力吸引到可能需要进一步讨论、减轻影响甚至取消决策的关键问题上。在使用CDDW三年后，我们对它们进行了重新审视，以了解康沃尔郡议会在将其纳入内阁及其他决策过程中学到了什么，以及它产生了什么影响。</w:t>
            </w:r>
          </w:p>
          <w:p w14:paraId="636F53B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挑战</w:t>
            </w:r>
          </w:p>
          <w:p w14:paraId="6B0130F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自2019年9月以来，提交内阁的每一项决策都经过了CDDW的评估。CDDW基于凯特·拉沃斯首创的甜甜圈经济学模型。该模型旨在平衡繁荣社会与繁荣地球的边界，目标是找到两者都能蓬勃发展的最佳平衡点，因为对任何一方的威胁都可能是灾难性的。</w:t>
            </w:r>
          </w:p>
          <w:p w14:paraId="24B0414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为确保CDDW有效并随后推广到所有决策过程，议会投资开发了一个技术平台，并建立了一套培训和支持计划，以在整个组织中构建能力。如果没有对技术和培训的投资，决策者基于准确且信息丰富的评估做出明智决策的能力将面临风险。</w:t>
            </w:r>
          </w:p>
          <w:p w14:paraId="0BA7654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解决方案</w:t>
            </w:r>
          </w:p>
          <w:p w14:paraId="662D3B3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为了提高CDDW的易用性、增强其数据收集潜力以及方法的稳健性，投资于一个数字平台至关重要。新工具面向所有人开放、具有交互性，并且与初始工具一样，依靠对其问题的定量回答来为所有独立部分分配分数。用户可以随时重新查看问题，使其成为一个动态工具，政策和项目负责人可以在决策前的设计阶段全程使用。</w:t>
            </w:r>
          </w:p>
          <w:p w14:paraId="7C59325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虽然在工具本身中投入了大量精力来建立一定质量保证水平，但我们认识到，它的好坏取决于使用它的人。我们成立了一个指导小组来指导工具的初步应用，并重点关注议会中负责政策和项目开发工作的官员。</w:t>
            </w:r>
          </w:p>
          <w:p w14:paraId="17955DC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一旦我们确定了组织中哪些员工将首先使用决策轮，我们就开始开发所需的支持和培训。我们确保拥有适当的技术支持，以便员工能够有效地使用数字工具。然后，我们专注于创造实施决策轮所需的必要环境，这使我们能够了解这个过程，并根据员工需求调整培训和技术支持。</w:t>
            </w:r>
          </w:p>
          <w:p w14:paraId="2084FB4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在这个过程中，我们很早就认识到，有效使用CDDW所需的培训和支持将是一个持续的、反复的过程。我们为相关的政策和项目官员建立了行动学习小组，以协作研究并确定可能的修改方案，并对所呈现的内容提出质疑。虽然这可能是一种资源密集型的工作方式，但这种方法的好处已通过员工掌握决策轮应用能力的提升速度以及所呈现工作质量得到了体现。</w:t>
            </w:r>
          </w:p>
          <w:p w14:paraId="41A78D6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我们对行动学习小组的使用也起到了审查的作用，有助于提高提交给决策者的影响评估的质量，确保所有影响都得到适当识别。小组由理事会内各自领域的专家组成。还向这些专家提供了关于如何正确使用CDDW的培训。</w:t>
            </w:r>
          </w:p>
          <w:p w14:paraId="1F9BE30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向关键决策者提供培训和指导也是一个重点。随着2021年5月新一届行政领导层的上任，我们认识到需要向新任内阁成员提供该工具的深入概述。</w:t>
            </w:r>
          </w:p>
          <w:p w14:paraId="0CF1964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我们举办了研讨会，重点讨论员工如何使用决策工具，员工如何编写与决策配套的报告，以及成员应如何探究报告内信息背后的逻辑。这些研讨会成功地帮助成员理解了该工具的价值并信任其输出结果。作为研讨会的补充，还举办了一次更广泛的成员简报会。</w:t>
            </w:r>
          </w:p>
          <w:p w14:paraId="3EC1394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该工具在不断发展。最近，我们将平等影响评估整合到了决策轮中。这有助于简化和精简议会的流程。借助新的数字工具，我们正在努力确保它获得整个议会的认可，在产出和可用性方面不断进步。CDDW已扩展到整个议会的决策过程，包括概述与审查委员会、个人投资组合持有人的决策，并且它也被用作所有战略、政策和项目开发的一部分。我们还开发了一种方法来审查多项政策和项目干预措施的累积影响，例如中期财务战略的制定。</w:t>
            </w:r>
          </w:p>
          <w:p w14:paraId="6D7E404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影响</w:t>
            </w:r>
          </w:p>
          <w:p w14:paraId="0C3E07B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DDW在塑造议会工作的未来方向方面极为成功。它正在植入一种新的思维方式，通过展示社会、经济和环境增长之间的权衡关系，帮助人们理解我们的生活与我们生活的环境之间的相互联系。它正在将我们决策结构的资源集中于最相关的问题，这些问题现在正式包括环境以及我们对环境的影响。它正在帮助促进跨部门工作，打破孤岛式的思维。</w:t>
            </w:r>
          </w:p>
          <w:p w14:paraId="2658050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如何维持这种新方法？</w:t>
            </w:r>
          </w:p>
          <w:p w14:paraId="79362BA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DDW现已完全融入康沃尔郡议会的流程中。我们热衷于确保所有员工和成员都能看到这一过程的价值，以继续赢得更多人的支持和认同。我们正在努力改善内部沟通，以帮助向议会中的每个人展示该工具的价值，并巩固我们现有的积极能量。</w:t>
            </w:r>
          </w:p>
          <w:p w14:paraId="33E7E77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使用该工具的一个关键点是认识到，如果它要持续有效地支持决策，就必须不断改进。我们有一个小型团队来支持上述所有工作，同时专注于开发CDDW，使其满足当前需求。这要求我们生成、审查和修改工具所使用的方法，使其能够识别政府政策和气候变化研究的变化。</w:t>
            </w:r>
          </w:p>
          <w:p w14:paraId="45AD007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经验教训</w:t>
            </w:r>
          </w:p>
          <w:p w14:paraId="334738F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任何考虑将此类流程纳入决策的人都必须了解所需的资源和技术技能。我们建议议会在开始之前花时间考虑什么是可实现的。</w:t>
            </w:r>
          </w:p>
          <w:p w14:paraId="160F83F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我们的流程包括对所有已完成的CDDW进行独立审查。这种方法可能很耗时，但它增加了必要的挑战要素。我们建议议会考虑这一步骤对其交付能力可能产生的影响。</w:t>
            </w:r>
          </w:p>
          <w:p w14:paraId="0B50304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向所有相关部门的相关员工提供培训以确保他们跟上进度需要时间和投入。为了解决这个问题，我们决定以灵活的方式提供培训和支持，将重点放在最初可能使用该工具的人身上。</w:t>
            </w:r>
          </w:p>
          <w:p w14:paraId="0C93F89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制定内部沟通计划至关重要，以帮助每个人了解变革的原因以及新的决策过程将如何运作。</w:t>
            </w:r>
          </w:p>
          <w:p w14:paraId="4AC04A4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议会最高层的支持对其成功也至关重要。康沃尔郡议会的首席执行官是使用CDDW的坚定支持者，这有助于其广泛采用。</w:t>
            </w:r>
          </w:p>
          <w:p w14:paraId="7CB9116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我们与成员、员工以及更广泛的合作伙伴和利益相关者合作，为决策轮生成了方法论。然而，这是基于我们的地理、经济、社区、资产等。这对每个议会来说都是不同的，因此，如果你决定创建自己的决策轮，生成自己的方法论以充分利用该工具是至关重要的。</w:t>
            </w:r>
          </w:p>
          <w:p w14:paraId="6484815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tc>
      </w:tr>
      <w:tr w14:paraId="28BB5776">
        <w:trPr>
          <w:jc w:val="center"/>
        </w:trPr>
        <w:tc>
          <w:tcPr>
            <w:tcW w:w="2268" w:type="dxa"/>
            <w:shd w:val="clear" w:color="auto" w:fill="EAF2F8"/>
            <w:tcMar>
              <w:top w:w="90" w:type="dxa"/>
              <w:left w:w="100" w:type="dxa"/>
              <w:bottom w:w="90" w:type="dxa"/>
              <w:right w:w="100" w:type="dxa"/>
            </w:tcMar>
            <w:vAlign w:val="center"/>
          </w:tcPr>
          <w:p w14:paraId="3486CEC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你的判断</w:t>
            </w:r>
          </w:p>
        </w:tc>
        <w:tc>
          <w:tcPr>
            <w:tcW w:w="6350" w:type="dxa"/>
            <w:tcMar>
              <w:top w:w="90" w:type="dxa"/>
              <w:left w:w="100" w:type="dxa"/>
              <w:bottom w:w="90" w:type="dxa"/>
              <w:right w:w="100" w:type="dxa"/>
            </w:tcMar>
            <w:vAlign w:val="center"/>
          </w:tcPr>
          <w:p w14:paraId="24C44CC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是否可用于论文：</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核心文献  □辅助文献  □备用资料</w:t>
            </w:r>
            <w:r>
              <w:rPr>
                <w:rFonts w:hint="eastAsia" w:asciiTheme="minorEastAsia" w:hAnsiTheme="minorEastAsia" w:eastAsiaTheme="minorEastAsia" w:cstheme="minorEastAsia"/>
                <w:i w:val="0"/>
                <w:iCs w:val="0"/>
                <w:caps w:val="0"/>
                <w:color w:val="0F1115"/>
                <w:spacing w:val="0"/>
                <w:sz w:val="21"/>
                <w:szCs w:val="21"/>
                <w:u w:val="none"/>
                <w:lang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eastAsia="zh-CN"/>
              </w:rPr>
              <w:t>可信度：</w:t>
            </w:r>
            <w:r>
              <w:rPr>
                <w:rFonts w:hint="eastAsia" w:asciiTheme="minorEastAsia" w:hAnsiTheme="minorEastAsia" w:eastAsiaTheme="minorEastAsia" w:cstheme="minorEastAsia"/>
                <w:i w:val="0"/>
                <w:iCs w:val="0"/>
                <w:caps w:val="0"/>
                <w:color w:val="0F1115"/>
                <w:spacing w:val="0"/>
                <w:sz w:val="21"/>
                <w:szCs w:val="21"/>
                <w:u w:val="none"/>
                <w:lang w:eastAsia="zh-CN"/>
              </w:rPr>
              <w:t>☑</w:t>
            </w:r>
            <w:r>
              <w:rPr>
                <w:rFonts w:hint="eastAsia" w:asciiTheme="minorEastAsia" w:hAnsiTheme="minorEastAsia" w:eastAsiaTheme="minorEastAsia" w:cstheme="minorEastAsia"/>
                <w:i w:val="0"/>
                <w:iCs w:val="0"/>
                <w:caps w:val="0"/>
                <w:color w:val="0F1115"/>
                <w:spacing w:val="0"/>
                <w:sz w:val="21"/>
                <w:szCs w:val="21"/>
                <w:u w:val="none"/>
                <w:lang w:eastAsia="zh-CN"/>
              </w:rPr>
              <w:t>高  □中  □低</w:t>
            </w:r>
          </w:p>
        </w:tc>
      </w:tr>
    </w:tbl>
    <w:p w14:paraId="1106B89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 xml:space="preserve">文献 </w:t>
      </w:r>
      <w:r>
        <w:rPr>
          <w:rFonts w:hint="eastAsia" w:asciiTheme="minorEastAsia" w:hAnsiTheme="minorEastAsia" w:eastAsiaTheme="minorEastAsia" w:cstheme="minorEastAsia"/>
          <w:i w:val="0"/>
          <w:iCs w:val="0"/>
          <w:caps w:val="0"/>
          <w:color w:val="0F1115"/>
          <w:spacing w:val="0"/>
          <w:sz w:val="21"/>
          <w:szCs w:val="21"/>
          <w:u w:val="none"/>
          <w:lang w:val="en-US" w:eastAsia="zh-CN"/>
        </w:rPr>
        <w:t>6</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7"/>
        <w:gridCol w:w="6799"/>
      </w:tblGrid>
      <w:tr w14:paraId="3EC4C680">
        <w:trPr>
          <w:jc w:val="center"/>
        </w:trPr>
        <w:tc>
          <w:tcPr>
            <w:tcW w:w="1707" w:type="dxa"/>
            <w:shd w:val="clear" w:color="auto" w:fill="EAF2F8"/>
            <w:tcMar>
              <w:top w:w="90" w:type="dxa"/>
              <w:left w:w="100" w:type="dxa"/>
              <w:bottom w:w="90" w:type="dxa"/>
              <w:right w:w="100" w:type="dxa"/>
            </w:tcMar>
            <w:vAlign w:val="center"/>
          </w:tcPr>
          <w:p w14:paraId="717A880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文献题目</w:t>
            </w:r>
          </w:p>
        </w:tc>
        <w:tc>
          <w:tcPr>
            <w:tcW w:w="6799" w:type="dxa"/>
            <w:tcMar>
              <w:top w:w="90" w:type="dxa"/>
              <w:left w:w="100" w:type="dxa"/>
              <w:bottom w:w="90" w:type="dxa"/>
              <w:right w:w="100" w:type="dxa"/>
            </w:tcMar>
            <w:vAlign w:val="center"/>
          </w:tcPr>
          <w:p w14:paraId="7F1130B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Briefing: Cornwall's Development and Decision Wheel: An innovative approach to decision making</w:t>
            </w:r>
          </w:p>
        </w:tc>
      </w:tr>
      <w:tr w14:paraId="1C157B71">
        <w:trPr>
          <w:jc w:val="center"/>
        </w:trPr>
        <w:tc>
          <w:tcPr>
            <w:tcW w:w="1707" w:type="dxa"/>
            <w:shd w:val="clear" w:color="auto" w:fill="EAF2F8"/>
            <w:tcMar>
              <w:top w:w="90" w:type="dxa"/>
              <w:left w:w="100" w:type="dxa"/>
              <w:bottom w:w="90" w:type="dxa"/>
              <w:right w:w="100" w:type="dxa"/>
            </w:tcMar>
            <w:vAlign w:val="center"/>
          </w:tcPr>
          <w:p w14:paraId="41ECF2B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作者/机构</w:t>
            </w:r>
          </w:p>
        </w:tc>
        <w:tc>
          <w:tcPr>
            <w:tcW w:w="6799" w:type="dxa"/>
            <w:tcMar>
              <w:top w:w="90" w:type="dxa"/>
              <w:left w:w="100" w:type="dxa"/>
              <w:bottom w:w="90" w:type="dxa"/>
              <w:right w:w="100" w:type="dxa"/>
            </w:tcMar>
            <w:vAlign w:val="center"/>
          </w:tcPr>
          <w:p w14:paraId="49DD1BE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Jane Cox and Sarah Harrison, Cornwall Council / 发布机构：LGIU (Local Government Information Unit)</w:t>
            </w:r>
          </w:p>
        </w:tc>
      </w:tr>
      <w:tr w14:paraId="4B98C86D">
        <w:trPr>
          <w:jc w:val="center"/>
        </w:trPr>
        <w:tc>
          <w:tcPr>
            <w:tcW w:w="1707" w:type="dxa"/>
            <w:shd w:val="clear" w:color="auto" w:fill="EAF2F8"/>
            <w:tcMar>
              <w:top w:w="90" w:type="dxa"/>
              <w:left w:w="100" w:type="dxa"/>
              <w:bottom w:w="90" w:type="dxa"/>
              <w:right w:w="100" w:type="dxa"/>
            </w:tcMar>
            <w:vAlign w:val="center"/>
          </w:tcPr>
          <w:p w14:paraId="208A4E9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来源类型</w:t>
            </w:r>
          </w:p>
        </w:tc>
        <w:tc>
          <w:tcPr>
            <w:tcW w:w="6799" w:type="dxa"/>
            <w:tcMar>
              <w:top w:w="90" w:type="dxa"/>
              <w:left w:w="100" w:type="dxa"/>
              <w:bottom w:w="90" w:type="dxa"/>
              <w:right w:w="100" w:type="dxa"/>
            </w:tcMar>
            <w:vAlign w:val="center"/>
          </w:tcPr>
          <w:p w14:paraId="2A2B89D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政策简报 </w:t>
            </w:r>
          </w:p>
        </w:tc>
      </w:tr>
      <w:tr w14:paraId="3ADFFED5">
        <w:trPr>
          <w:jc w:val="center"/>
        </w:trPr>
        <w:tc>
          <w:tcPr>
            <w:tcW w:w="1707" w:type="dxa"/>
            <w:shd w:val="clear" w:color="auto" w:fill="EAF2F8"/>
            <w:tcMar>
              <w:top w:w="90" w:type="dxa"/>
              <w:left w:w="100" w:type="dxa"/>
              <w:bottom w:w="90" w:type="dxa"/>
              <w:right w:w="100" w:type="dxa"/>
            </w:tcMar>
            <w:vAlign w:val="center"/>
          </w:tcPr>
          <w:p w14:paraId="00A4A79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链接或数据库</w:t>
            </w:r>
          </w:p>
        </w:tc>
        <w:tc>
          <w:tcPr>
            <w:tcW w:w="6799" w:type="dxa"/>
            <w:tcMar>
              <w:top w:w="90" w:type="dxa"/>
              <w:left w:w="100" w:type="dxa"/>
              <w:bottom w:w="90" w:type="dxa"/>
              <w:right w:w="100" w:type="dxa"/>
            </w:tcMar>
            <w:vAlign w:val="center"/>
          </w:tcPr>
          <w:p w14:paraId="57EB95E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https://lgiu.org/wp-content/uploads/2025/05/LGIU_cornwall-development-and-decision-wheel-an-innovative-approach-to-decision-making.pdf</w:t>
            </w:r>
          </w:p>
        </w:tc>
      </w:tr>
      <w:tr w14:paraId="5F6D038C">
        <w:trPr>
          <w:jc w:val="center"/>
        </w:trPr>
        <w:tc>
          <w:tcPr>
            <w:tcW w:w="1707" w:type="dxa"/>
            <w:shd w:val="clear" w:color="auto" w:fill="EAF2F8"/>
            <w:tcMar>
              <w:top w:w="90" w:type="dxa"/>
              <w:left w:w="100" w:type="dxa"/>
              <w:bottom w:w="90" w:type="dxa"/>
              <w:right w:w="100" w:type="dxa"/>
            </w:tcMar>
            <w:vAlign w:val="center"/>
          </w:tcPr>
          <w:p w14:paraId="6FE88FA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发布时间</w:t>
            </w:r>
          </w:p>
        </w:tc>
        <w:tc>
          <w:tcPr>
            <w:tcW w:w="6799" w:type="dxa"/>
            <w:tcMar>
              <w:top w:w="90" w:type="dxa"/>
              <w:left w:w="100" w:type="dxa"/>
              <w:bottom w:w="90" w:type="dxa"/>
              <w:right w:w="100" w:type="dxa"/>
            </w:tcMar>
            <w:vAlign w:val="center"/>
          </w:tcPr>
          <w:p w14:paraId="1950335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2025年5月7日</w:t>
            </w:r>
          </w:p>
          <w:p w14:paraId="44CDE27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tc>
      </w:tr>
      <w:tr w14:paraId="66A83EB6">
        <w:trPr>
          <w:jc w:val="center"/>
        </w:trPr>
        <w:tc>
          <w:tcPr>
            <w:tcW w:w="1707" w:type="dxa"/>
            <w:shd w:val="clear" w:color="auto" w:fill="EAF2F8"/>
            <w:tcMar>
              <w:top w:w="90" w:type="dxa"/>
              <w:left w:w="100" w:type="dxa"/>
              <w:bottom w:w="90" w:type="dxa"/>
              <w:right w:w="100" w:type="dxa"/>
            </w:tcMar>
            <w:vAlign w:val="center"/>
          </w:tcPr>
          <w:p w14:paraId="3CD137B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为什么值得收集</w:t>
            </w:r>
          </w:p>
        </w:tc>
        <w:tc>
          <w:tcPr>
            <w:tcW w:w="6799" w:type="dxa"/>
            <w:tcMar>
              <w:top w:w="90" w:type="dxa"/>
              <w:left w:w="100" w:type="dxa"/>
              <w:bottom w:w="90" w:type="dxa"/>
              <w:right w:w="100" w:type="dxa"/>
            </w:tcMar>
            <w:vAlign w:val="center"/>
          </w:tcPr>
          <w:p w14:paraId="39B5F94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这是2025年由康沃尔议会官员亲自撰写的最新进展报告，是CDDW实施四年后的官方回顾。相比2022年的LGA评估，这份简报提供了工具从2020年开发到2025年持续改进的完整时间线，包括：2024年用户调查、2025年行动计划、培训整合、门户功能增强等最新动态。它直接回答了“推进到什么程度”——工具已完全嵌入治理流程，并持续根据用户反馈迭代。此外，文中引用了议会领袖和战略总监的一手评价，权威性高。</w:t>
            </w:r>
          </w:p>
          <w:p w14:paraId="7D788BA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tc>
      </w:tr>
      <w:tr w14:paraId="68356E2F">
        <w:trPr>
          <w:jc w:val="center"/>
        </w:trPr>
        <w:tc>
          <w:tcPr>
            <w:tcW w:w="1707" w:type="dxa"/>
            <w:shd w:val="clear" w:color="auto" w:fill="EAF2F8"/>
            <w:tcMar>
              <w:top w:w="90" w:type="dxa"/>
              <w:left w:w="100" w:type="dxa"/>
              <w:bottom w:w="90" w:type="dxa"/>
              <w:right w:w="100" w:type="dxa"/>
            </w:tcMar>
            <w:vAlign w:val="center"/>
          </w:tcPr>
          <w:p w14:paraId="4789F2A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原文</w:t>
            </w:r>
          </w:p>
        </w:tc>
        <w:tc>
          <w:tcPr>
            <w:tcW w:w="6799" w:type="dxa"/>
            <w:tcMar>
              <w:top w:w="90" w:type="dxa"/>
              <w:left w:w="100" w:type="dxa"/>
              <w:bottom w:w="90" w:type="dxa"/>
              <w:right w:w="100" w:type="dxa"/>
            </w:tcMar>
            <w:vAlign w:val="center"/>
          </w:tcPr>
          <w:p w14:paraId="52FC2FC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Briefing: Cornwall's Development and</w:t>
            </w:r>
          </w:p>
          <w:p w14:paraId="45EB4CD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Decision Wheel: An innovative approach</w:t>
            </w:r>
          </w:p>
          <w:p w14:paraId="7A209E6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to decision making</w:t>
            </w:r>
          </w:p>
          <w:p w14:paraId="0B3D23B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Published: 7 May, 2025</w:t>
            </w:r>
          </w:p>
          <w:p w14:paraId="3CE2C4B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Author: Jane Cox and Sarah Harrison, Cornwall Council</w:t>
            </w:r>
          </w:p>
          <w:p w14:paraId="31DF8DA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Location(s): England &amp; Wales</w:t>
            </w:r>
          </w:p>
          <w:p w14:paraId="7724E88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Topics: Climate action and sustainable development, Democracy, devolution and</w:t>
            </w:r>
          </w:p>
          <w:p w14:paraId="0E308F0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governance</w:t>
            </w:r>
          </w:p>
          <w:p w14:paraId="414D648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Summary</w:t>
            </w:r>
          </w:p>
          <w:p w14:paraId="2CB6541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In this briefing, Cornwall Council detail the Cornwall Development and Decision</w:t>
            </w:r>
          </w:p>
          <w:p w14:paraId="5E4F4E0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Wheel, a groundbreaking tool that has transformed the council’s decision-making</w:t>
            </w:r>
          </w:p>
          <w:p w14:paraId="2B4C016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approach. Four years into its implementation, they explore the journey of this</w:t>
            </w:r>
          </w:p>
          <w:p w14:paraId="11F9C7F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innovation, from its inception to its continuing application, and how it could inspire</w:t>
            </w:r>
          </w:p>
          <w:p w14:paraId="45B200B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other councils to adopt similar approaches.</w:t>
            </w:r>
          </w:p>
          <w:p w14:paraId="0A785F1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Briefing in full</w:t>
            </w:r>
          </w:p>
          <w:p w14:paraId="15F5FB9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Background</w:t>
            </w:r>
          </w:p>
          <w:p w14:paraId="3CAB387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Cornwall has a rich culture and a unique history and language. This originality has</w:t>
            </w:r>
          </w:p>
          <w:p w14:paraId="2A04606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Members only briefing from https://lgiu.orgled Cornwall, and its unitary authority Cornwall Council, to always be ambitious in its</w:t>
            </w:r>
          </w:p>
          <w:p w14:paraId="5469CEE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thinking and actions. Cornwall was the first rural area in the UK to negotiate one of</w:t>
            </w:r>
          </w:p>
          <w:p w14:paraId="3AEB8C9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first devolution deals with Government in 2015 and was also one of the first</w:t>
            </w:r>
          </w:p>
          <w:p w14:paraId="6BD6AD5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unitary authorities to declare a climate emergency in January 2019.</w:t>
            </w:r>
          </w:p>
          <w:p w14:paraId="20468D6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via Cornwall Council</w:t>
            </w:r>
          </w:p>
          <w:p w14:paraId="120A116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Challenge</w:t>
            </w:r>
          </w:p>
          <w:p w14:paraId="49EC252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Following our 2019 climate emergency declaration, and through the development of</w:t>
            </w:r>
          </w:p>
          <w:p w14:paraId="160FAB0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our Carbon Neutral Cornwall Action Plan, we recognised the need for the Council to</w:t>
            </w:r>
          </w:p>
          <w:p w14:paraId="6A1E5F6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consider environmental impacts as part of our decision-making processes. As a</w:t>
            </w:r>
          </w:p>
          <w:p w14:paraId="16F663E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result, we developed a Climate Change Decision Wheel (an excel-based tool) and</w:t>
            </w:r>
          </w:p>
          <w:p w14:paraId="4919F9E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piloted it for Cabinet decisions from late 2019 onwards. The wheel was based on</w:t>
            </w:r>
          </w:p>
          <w:p w14:paraId="76D3337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doughnut economics, a concept pioneered by economist Kate Raworth. The</w:t>
            </w:r>
          </w:p>
          <w:p w14:paraId="6967AC7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‘doughnut’ consists of a social foundation and an ecological ceiling. Between these</w:t>
            </w:r>
          </w:p>
          <w:p w14:paraId="77D7B34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boundaries lies a space that is both environmentally safe and socially just space in</w:t>
            </w:r>
          </w:p>
          <w:p w14:paraId="6CA87F0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which humanity can thrive. The CDDW aims to ensure, wherever possible, our</w:t>
            </w:r>
          </w:p>
          <w:p w14:paraId="208A8B6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decisions fall within that space.</w:t>
            </w:r>
          </w:p>
          <w:p w14:paraId="5979F38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While developing the Climate Change Wheel, we also recognised that consideration</w:t>
            </w:r>
          </w:p>
          <w:p w14:paraId="1D8582E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of the equality impacts of our decisions could be improved through a fresh equality</w:t>
            </w:r>
          </w:p>
          <w:p w14:paraId="2882E3B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impact assessment. Therefore, we decided to develop a single integrated digital tool</w:t>
            </w:r>
          </w:p>
          <w:p w14:paraId="56A1095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that combined both processes into one and would highlight the environmental, social</w:t>
            </w:r>
          </w:p>
          <w:p w14:paraId="5A8D8A4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and equality and inclusion impacts of proposed decisions – a tool that would be</w:t>
            </w:r>
          </w:p>
          <w:p w14:paraId="78CB3E3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routinely used at the outset of strategy/policy development and project/programme</w:t>
            </w:r>
          </w:p>
          <w:p w14:paraId="21E3A5B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Members only briefing from https://lgiu.orgplanning.</w:t>
            </w:r>
          </w:p>
          <w:p w14:paraId="66EF546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via Cornwall Council</w:t>
            </w:r>
          </w:p>
          <w:p w14:paraId="2DA186D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Action Taken</w:t>
            </w:r>
          </w:p>
          <w:p w14:paraId="645EA9A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In the summer of 2020, we brought together a team of policy and technical experts,</w:t>
            </w:r>
          </w:p>
          <w:p w14:paraId="4977C63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from our Carbon Neutral Cornwall, Equality, Diversity and Inclusion and in-house</w:t>
            </w:r>
          </w:p>
          <w:p w14:paraId="1D91B49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Information Services (IS) teams to create the Cornwall Development and Decision</w:t>
            </w:r>
          </w:p>
          <w:p w14:paraId="3618F20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Wheel (CDDW). The tool was created using Microsoft Power Apps, which had</w:t>
            </w:r>
          </w:p>
          <w:p w14:paraId="20A40E1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already been in use across the organisation. with Microsoft Dynamics 365 enabling</w:t>
            </w:r>
          </w:p>
          <w:p w14:paraId="6656964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monitoring and tracking. We aimed to create, over a 12-month period, updated</w:t>
            </w:r>
          </w:p>
          <w:p w14:paraId="4361AB6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versions of the CDDW that could be tested and put into practice. We agreed on a</w:t>
            </w:r>
          </w:p>
          <w:p w14:paraId="46AD1EC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five-point scale that would guide how we assessed impacts and started to develop</w:t>
            </w:r>
          </w:p>
          <w:p w14:paraId="0EA497C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both an environmental and social and equality and inclusion wheel.</w:t>
            </w:r>
          </w:p>
          <w:p w14:paraId="08EF4D8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Members only briefing from https://lgiu.orgvia Cornwall Council</w:t>
            </w:r>
          </w:p>
          <w:p w14:paraId="483F8E2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We worked with colleagues across the organisation to co-design the wheels and co-</w:t>
            </w:r>
          </w:p>
          <w:p w14:paraId="1B0AE83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create the questions and methodology that underpin them. Within the environmental</w:t>
            </w:r>
          </w:p>
          <w:p w14:paraId="2CE2E68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and social wheel, depending on the answers and numbers given, impacts areMembers only briefing from https://lgiu.orgautomatically generated. Within the equality and inclusion wheel, impacts are</w:t>
            </w:r>
          </w:p>
          <w:p w14:paraId="28C2838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assessed after weighing up evidence and consultation results. The entire CDDW</w:t>
            </w:r>
          </w:p>
          <w:p w14:paraId="3084D4B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process, including the production of a final report with the graphics, is housed on a</w:t>
            </w:r>
          </w:p>
          <w:p w14:paraId="4F73ADC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dedicated portal. All staﬀ have access as required.</w:t>
            </w:r>
          </w:p>
          <w:p w14:paraId="1A6F563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We then looked at ways to ensure that all CDDWs were properly assessed. We</w:t>
            </w:r>
          </w:p>
          <w:p w14:paraId="2E52A44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already had equality action groups that supported equality impact assessments, and</w:t>
            </w:r>
          </w:p>
          <w:p w14:paraId="5609E87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we worked with them to develop their knowledge and experience so they could act</w:t>
            </w:r>
          </w:p>
          <w:p w14:paraId="02BB3D7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as ‘critical friends’ and review CDDWs, as part of a council-wide CDDW review</w:t>
            </w:r>
          </w:p>
          <w:p w14:paraId="6116408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process. We added a review and approval process to the portal which allowed the</w:t>
            </w:r>
          </w:p>
          <w:p w14:paraId="08EEA2C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documenting of actions and recording of the status of a wheel.</w:t>
            </w:r>
          </w:p>
          <w:p w14:paraId="06673AE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We also recognised that sometimes more than one person would need to work on</w:t>
            </w:r>
          </w:p>
          <w:p w14:paraId="7C4C995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CDDW and wanted to ensure that views from diﬀerent departments could be</w:t>
            </w:r>
          </w:p>
          <w:p w14:paraId="4454A0D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sought as part of the process. We therefore created a co-author function that</w:t>
            </w:r>
          </w:p>
          <w:p w14:paraId="292451E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allowed the author to invite others to work on a CDDW and to bring in colleagues to</w:t>
            </w:r>
          </w:p>
          <w:p w14:paraId="2367252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discuss the answers to questions, helping break down departmental silos.</w:t>
            </w:r>
          </w:p>
          <w:p w14:paraId="34B3AFB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Once we had the above functions up and running, we looked at how to best roll out</w:t>
            </w:r>
          </w:p>
          <w:p w14:paraId="1DF24D1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tool to the wider organisation. We brought together a steering group of key</w:t>
            </w:r>
          </w:p>
          <w:p w14:paraId="55309FD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colleagues from across the council to consider the processes through which they</w:t>
            </w:r>
          </w:p>
          <w:p w14:paraId="09FA958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could use the tool initially. We delivered training and support in an agile way,</w:t>
            </w:r>
          </w:p>
          <w:p w14:paraId="7FA6222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conducting familiarisation sessions for those most likely to use the tool initially in</w:t>
            </w:r>
          </w:p>
          <w:p w14:paraId="7598AE5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their projects and to support key pieces of work.</w:t>
            </w:r>
          </w:p>
          <w:p w14:paraId="520BD3F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Impact</w:t>
            </w:r>
          </w:p>
          <w:p w14:paraId="2B1494E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CDDW has combined two separate processes into one, simplifying and</w:t>
            </w:r>
          </w:p>
          <w:p w14:paraId="11E316D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removing duplication. It has been successful in improving the way the Council</w:t>
            </w:r>
          </w:p>
          <w:p w14:paraId="5ECBC3D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approaches decision-making. It has helped embed a new way of thinking, involving</w:t>
            </w:r>
          </w:p>
          <w:p w14:paraId="6FA8358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both Members and staﬀ across the organisation. It has facilitated cross-department</w:t>
            </w:r>
          </w:p>
          <w:p w14:paraId="2BC6067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working, helping everyone break away from siloed thinking.</w:t>
            </w:r>
          </w:p>
          <w:p w14:paraId="47137FB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Cllr Linda Taylor, Leader of Cornwall Council 2021-2025, said</w:t>
            </w:r>
          </w:p>
          <w:p w14:paraId="4A1EE6E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‘This tool helps us to make decisions based on evidence and data. It helps us</w:t>
            </w:r>
          </w:p>
          <w:p w14:paraId="354B18D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to step back and resist the temptation to be led by emotions and is vital to</w:t>
            </w:r>
          </w:p>
          <w:p w14:paraId="45D6620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navigate complexity and understand and avoid unintended consequences’</w:t>
            </w:r>
          </w:p>
          <w:p w14:paraId="222765A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CDDW has supported the assessment of some particularly challenging</w:t>
            </w:r>
          </w:p>
          <w:p w14:paraId="6E229A3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Members only briefing from https://lgiu.orgdecisions, and it is used to consider all proposals made as part of the annual budget</w:t>
            </w:r>
          </w:p>
          <w:p w14:paraId="4A95F00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setting process. Examples can be found on our website.</w:t>
            </w:r>
          </w:p>
          <w:p w14:paraId="3251A13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Future</w:t>
            </w:r>
          </w:p>
          <w:p w14:paraId="01019BA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We continue to make improvements to the CDDW. Recent changes include:</w:t>
            </w:r>
          </w:p>
          <w:p w14:paraId="365DCFC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addition of ‘Experience of care’ as another key group within the equality and</w:t>
            </w:r>
          </w:p>
          <w:p w14:paraId="33F01D9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inclusion wheel, following a September 2023 Cornwall Cabinet decision to treat</w:t>
            </w:r>
          </w:p>
          <w:p w14:paraId="0C5A5C0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experience of care as a locally protected characteristic.</w:t>
            </w:r>
          </w:p>
          <w:p w14:paraId="4432842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Updates to the Prosperity section to include questions which reflect our new Good</w:t>
            </w:r>
          </w:p>
          <w:p w14:paraId="2F1C35A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Growth Plan:</w:t>
            </w:r>
          </w:p>
          <w:p w14:paraId="64CA8DD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Access to training and qualifications and the impact on future job opportunities</w:t>
            </w:r>
          </w:p>
          <w:p w14:paraId="235B6B9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Whether employment opportunities created or lost are paying the real Living</w:t>
            </w:r>
          </w:p>
          <w:p w14:paraId="1DA67A0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Wage</w:t>
            </w:r>
          </w:p>
          <w:p w14:paraId="5FE6330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sectors in which we are encouraging growth within Cornwall, both through</w:t>
            </w:r>
          </w:p>
          <w:p w14:paraId="51214D9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the establishment of new businesses and the development of existing ones</w:t>
            </w:r>
          </w:p>
          <w:p w14:paraId="46F1583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And to help guide future direction, in 2024 we conducted a user survey with authors,</w:t>
            </w:r>
          </w:p>
          <w:p w14:paraId="5F006F6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reviewers and approvers. We have used the results to create an action plan that will</w:t>
            </w:r>
          </w:p>
          <w:p w14:paraId="4A33F8D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guide our digital improvements. This plan will also shape our approach to training</w:t>
            </w:r>
          </w:p>
          <w:p w14:paraId="73E653B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and the further integration of CDDW into our governance.</w:t>
            </w:r>
          </w:p>
          <w:p w14:paraId="79DFC32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We have already embedded CDDW guidance within our Equality, Diversity,</w:t>
            </w:r>
          </w:p>
          <w:p w14:paraId="7CE42EF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Inclusion and Human Rights mandatory e-learning to help staﬀ gain a better</w:t>
            </w:r>
          </w:p>
          <w:p w14:paraId="11D0642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understanding of the CDDW. And we are now creating bite-size video guides and</w:t>
            </w:r>
          </w:p>
          <w:p w14:paraId="15E9E11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will be conducting targeted refresher sessions. Additionally, we are enhancing the</w:t>
            </w:r>
          </w:p>
          <w:p w14:paraId="2C9B325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portal’s functionality to better meet the organisation’s needs and reduce</w:t>
            </w:r>
          </w:p>
          <w:p w14:paraId="15FEAB0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administrative functions. Having the tool in place for a couple of years has allowed</w:t>
            </w:r>
          </w:p>
          <w:p w14:paraId="13ECE77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us to identify what works well and areas for improvement. We continue to work with</w:t>
            </w:r>
          </w:p>
          <w:p w14:paraId="572AF42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our IS colleagues to find solutions.</w:t>
            </w:r>
          </w:p>
          <w:p w14:paraId="3939D3F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Kate Evan-Hughes, Strategic Director, Children’s Services and Council Director</w:t>
            </w:r>
          </w:p>
          <w:p w14:paraId="7F3685F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Team Equality Champion said: ‘For this to be successful it can’t be half-baked.</w:t>
            </w:r>
          </w:p>
          <w:p w14:paraId="6EF96FF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Senior leaders must really own it and lead by example. It also requires investment</w:t>
            </w:r>
          </w:p>
          <w:p w14:paraId="6FABD08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into the model itself (and its refresh) and the IT application. Finally, there must be</w:t>
            </w:r>
          </w:p>
          <w:p w14:paraId="06EE006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provision for users to be trained.’</w:t>
            </w:r>
          </w:p>
          <w:p w14:paraId="4413572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We speak to many local authorities who are interested in developing a similar model.</w:t>
            </w:r>
          </w:p>
          <w:p w14:paraId="2972346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Here are some of the considerations:</w:t>
            </w:r>
          </w:p>
          <w:p w14:paraId="2A9BC30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Members only briefing from https://lgiu.orgThink about the time, resources, and technical skills required. Consider what is</w:t>
            </w:r>
          </w:p>
          <w:p w14:paraId="120D98A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achievable before you start out. Demands include the time and cost of</w:t>
            </w:r>
          </w:p>
          <w:p w14:paraId="3FB3E4F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developing the tool, as well as ways to engage and train colleagues.</w:t>
            </w:r>
          </w:p>
          <w:p w14:paraId="5F4E221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Get buy-in at the highest level and from across the organisation before you</w:t>
            </w:r>
          </w:p>
          <w:p w14:paraId="5BB3F17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start. Cornwall Council’s Chief Executive and political leaders were firm</w:t>
            </w:r>
          </w:p>
          <w:p w14:paraId="7614A73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champions of the CDDW, and this helped its widespread adoption.</w:t>
            </w:r>
          </w:p>
          <w:p w14:paraId="06F4D8B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Develop an internal communications plan to help make everyone aware of the</w:t>
            </w:r>
          </w:p>
          <w:p w14:paraId="7C52E3E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reasons for the cha</w:t>
            </w:r>
            <w:r>
              <w:rPr>
                <w:rFonts w:hint="default" w:asciiTheme="minorEastAsia" w:hAnsiTheme="minorEastAsia" w:eastAsiaTheme="minorEastAsia" w:cstheme="minorEastAsia"/>
                <w:i w:val="0"/>
                <w:iCs w:val="0"/>
                <w:caps w:val="0"/>
                <w:color w:val="0F1115"/>
                <w:spacing w:val="0"/>
                <w:sz w:val="21"/>
                <w:szCs w:val="21"/>
                <w:u w:val="none"/>
                <w:lang w:val="en-US" w:eastAsia="zh-CN"/>
              </w:rPr>
              <w:t>nge and how the new decision-making process will work.</w:t>
            </w:r>
          </w:p>
          <w:p w14:paraId="5387400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 xml:space="preserve">Make the tool relevant. The questions and </w:t>
            </w:r>
            <w:r>
              <w:rPr>
                <w:rFonts w:hint="default" w:asciiTheme="minorEastAsia" w:hAnsiTheme="minorEastAsia" w:eastAsiaTheme="minorEastAsia" w:cstheme="minorEastAsia"/>
                <w:i w:val="0"/>
                <w:iCs w:val="0"/>
                <w:caps w:val="0"/>
                <w:color w:val="0F1115"/>
                <w:spacing w:val="0"/>
                <w:sz w:val="21"/>
                <w:szCs w:val="21"/>
                <w:u w:val="none"/>
                <w:lang w:eastAsia="zh-CN"/>
              </w:rPr>
              <w:t>methodology are based on</w:t>
            </w:r>
          </w:p>
          <w:p w14:paraId="7762BDC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Cornwall’s geography, economy, people and priorities. This will be diﬀerent for</w:t>
            </w:r>
          </w:p>
          <w:p w14:paraId="0141263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each council, so it is vital to generate your own methodology to get the best out</w:t>
            </w:r>
          </w:p>
          <w:p w14:paraId="5F75656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eastAsia="zh-CN"/>
              </w:rPr>
            </w:pPr>
            <w:r>
              <w:rPr>
                <w:rFonts w:hint="default" w:asciiTheme="minorEastAsia" w:hAnsiTheme="minorEastAsia" w:eastAsiaTheme="minorEastAsia" w:cstheme="minorEastAsia"/>
                <w:i w:val="0"/>
                <w:iCs w:val="0"/>
                <w:caps w:val="0"/>
                <w:color w:val="0F1115"/>
                <w:spacing w:val="0"/>
                <w:sz w:val="21"/>
                <w:szCs w:val="21"/>
                <w:u w:val="none"/>
                <w:lang w:eastAsia="zh-CN"/>
              </w:rPr>
              <w:t>of any tool.</w:t>
            </w:r>
          </w:p>
          <w:p w14:paraId="7807FFA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eastAsia="zh-CN"/>
              </w:rPr>
            </w:pPr>
          </w:p>
        </w:tc>
      </w:tr>
      <w:tr w14:paraId="0C39E435">
        <w:trPr>
          <w:jc w:val="center"/>
        </w:trPr>
        <w:tc>
          <w:tcPr>
            <w:tcW w:w="1707" w:type="dxa"/>
            <w:shd w:val="clear" w:color="auto" w:fill="EAF2F8"/>
            <w:tcMar>
              <w:top w:w="90" w:type="dxa"/>
              <w:left w:w="100" w:type="dxa"/>
              <w:bottom w:w="90" w:type="dxa"/>
              <w:right w:w="100" w:type="dxa"/>
            </w:tcMar>
            <w:vAlign w:val="center"/>
          </w:tcPr>
          <w:p w14:paraId="1485CE8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中文翻译</w:t>
            </w:r>
          </w:p>
        </w:tc>
        <w:tc>
          <w:tcPr>
            <w:tcW w:w="6799" w:type="dxa"/>
            <w:tcMar>
              <w:top w:w="90" w:type="dxa"/>
              <w:left w:w="100" w:type="dxa"/>
              <w:bottom w:w="90" w:type="dxa"/>
              <w:right w:w="100" w:type="dxa"/>
            </w:tcMar>
            <w:vAlign w:val="center"/>
          </w:tcPr>
          <w:p w14:paraId="1A57D93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完整简报</w:t>
            </w:r>
          </w:p>
          <w:p w14:paraId="54807F4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背景</w:t>
            </w:r>
          </w:p>
          <w:p w14:paraId="2BEBC9D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康沃尔拥有丰富的文化、独特的历史和语言。这种独创性使康沃尔及其单一管理当局——康沃尔郡议会——在思想和行动上始终雄心勃勃。康沃尔是英国第一个在2015年与政府谈判达成首批权力下放协议之一的农村地区，也是2019年1月首批宣布气候紧急状态的单一管理当局之一。</w:t>
            </w:r>
          </w:p>
          <w:p w14:paraId="2DDBD66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挑战</w:t>
            </w:r>
          </w:p>
          <w:p w14:paraId="2E934E9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在2019年宣布气候紧急状态后，并通过制定《碳中和康沃尔行动计划》，我们意识到议会需要将环境影响作为决策过程的一部分加以考虑。因此，我们开发了一个气候变化决策轮（一个基于Excel的工具），并从2019年底开始将其用于内阁决策试点。该决策轮以经济学家凯特·拉沃斯首创的甜甜圈经济学为基础。甜甜圈由社会基础和生态天花板组成。在这两个边界之间是一个既环境安全又社会公正的空间，人类可以在此繁荣发展。CDDW旨在尽可能确保我们的决策落在这个空间内。</w:t>
            </w:r>
          </w:p>
          <w:p w14:paraId="602EF57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在开发气候变化决策轮的同时，我们还认识到，通过全新的平等影响评估，可以改进对我们决策平等影响的考量。因此，我们决定开发一个单一的集成数字工具，将两个流程合二为一，该工具将突出显示拟议决策对环境、社会以及平等与包容方面的影响——这是一个在战略/政策制定和项目/计划规划之初就会常规使用的工具。</w:t>
            </w:r>
          </w:p>
          <w:p w14:paraId="3FA50E6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采取的行动</w:t>
            </w:r>
          </w:p>
          <w:p w14:paraId="7244267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2020年夏天，我们召集了一个由政策和技术专家组成的团队——来自我们的碳中和康沃尔团队、平等、多样性与包容性团队以及内部信息服务（IS）团队——来创建康沃尔发展与决策轮（CDDW）。该工具使用微软Power Apps创建，该应用已在全组织范围内使用，同时利用微软Dynamics 365进行监控和追踪。我们计划在12个月内创建CDDW的更新版本，并进行测试和实践。我们商定了一个五级评分标准来指导我们评估影响，并开始开发环境与社会轮以及平等与包容轮。</w:t>
            </w:r>
          </w:p>
          <w:p w14:paraId="1E60E81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我们与整个组织的同事合作，共同设计了这些决策轮，并共同创建了支撑它们的问题和方法论。在环境与社会轮中，根据给出的答案和数字，影响会自动生成。在平等与包容轮中，影响是在权衡证据和咨询结果之后进行评估的。整个CDDW流程，包括最终报告及其图表的生成，都位于一个专用门户网站上。所有员工均可根据需要访问。</w:t>
            </w:r>
          </w:p>
          <w:p w14:paraId="12EBD24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然后，我们寻找方法来确保所有CDDW都得到适当评估。我们已有支持平等影响评估的平等行动小组，我们与他们合作发展他们的知识和经验，使他们能够作为“批判性朋友”并审查CDDW，作为全议会CDDW审查流程的一部分。我们在门户网站上增加了一个审查和批准流程，允许记录行动和记录决策轮的状态。</w:t>
            </w:r>
          </w:p>
          <w:p w14:paraId="3C3FB91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我们还认识到，有时需要多人共同完成CDDW，并希望确保在此过程中能够征求不同部门的意见。因此，我们创建了一个合著者功能，允许作者邀请其他人共同编写CDDW，并召集同事讨论问题的答案，这有助于打破部门之间的孤岛。</w:t>
            </w:r>
          </w:p>
          <w:p w14:paraId="551071B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一旦上述功能启动并运行，我们便开始研究如何最好地将该工具推广到更广泛的组织中。我们召集了一个由议会主要同事组成的指导小组，考虑他们最初可以使用该工具的流程。我们以灵活的方式提供培训和支持，为那些最有可能在项目中最初使用该工具并支持关键工作的员工举办了熟悉会议。</w:t>
            </w:r>
          </w:p>
          <w:p w14:paraId="1636557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影响</w:t>
            </w:r>
          </w:p>
          <w:p w14:paraId="7254563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DDW将两个独立的流程合二为一，简化了流程并消除了重复。它在改进议会的决策方法方面取得了成功。它帮助植入了一种新的思维方式，让议会成员和所有员工都参与其中。它促进了跨部门合作，帮助每个人摆脱了孤岛思维。</w:t>
            </w:r>
          </w:p>
          <w:p w14:paraId="09059E1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康沃尔郡议会2021-2025年度领导人琳达·泰勒议员表示：</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“这个工具帮助我们基于证据和数据做出决策。它帮助我们退后一步，抵制被情绪左右的诱惑，对于驾驭复杂情况、理解并避免意外后果至关重要。”</w:t>
            </w:r>
          </w:p>
          <w:p w14:paraId="41317EB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CDDW已支持对一些特别具挑战性的决策进行评估，并被用于考虑年度预算制定过程中的所有提案。示例可在我们的网站上找到。</w:t>
            </w:r>
          </w:p>
          <w:p w14:paraId="14DFCDF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未来</w:t>
            </w:r>
          </w:p>
          <w:p w14:paraId="67F20C8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我们继续改进CDDW。最近的更改包括：</w:t>
            </w:r>
          </w:p>
          <w:p w14:paraId="23CB682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根据2023年9月康沃尔内阁决定将“护理经历”视为当地受保护特征，在平等与包容轮中增加了“护理经历”作为另一个关键群体。</w:t>
            </w:r>
          </w:p>
          <w:p w14:paraId="074CFE5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更新了“繁荣”部分，以反映我们新的《良好增长计划》，包括：</w:t>
            </w:r>
          </w:p>
          <w:p w14:paraId="04A44C7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获得培训和资格的机会以及对未来工作机会的影响</w:t>
            </w:r>
          </w:p>
          <w:p w14:paraId="25400C9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创造或流失的就业机会是否支付真实生活工资</w:t>
            </w:r>
          </w:p>
          <w:p w14:paraId="7C9F1D6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我们鼓励在康沃尔境内增长的行业，既包括新企业的建立，也包括现有企业的发展</w:t>
            </w:r>
          </w:p>
          <w:p w14:paraId="738E241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为了指导未来的方向，我们在2024年对作者、审阅者和批准者进行了一次用户调查。我们利用调查结果制定了一项行动计划，以指导我们的数字化改进。该计划还将影响我们的培训方法以及将CDDW进一步整合到我们的治理中。</w:t>
            </w:r>
          </w:p>
          <w:p w14:paraId="3532CAD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我们已经将CDDW指南纳入了我们关于平等、多样性、包容性和人权的强制性在线学习中，以帮助员工更好地理解CDDW。我们现在正在制作简短的视频指南，并将进行有针对性的复习培训。此外，我们正在增强门户网站的功能，以更好地满足组织的需求并减少行政工作。该工具实施几年使我们能够确定哪些方面运作良好以及哪些方面需要改进。我们继续与信息服务部门的同事合作寻找解决方案。</w:t>
            </w:r>
          </w:p>
          <w:p w14:paraId="72BBE70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战略总监（儿童服务）兼议会总监团队平等 champion 凯特·埃文-休斯表示：</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“要想成功，就不能半途而废。高级领导者必须真正拥有它并以身作则。它还需要对模型本身（及其更新）和IT应用程序进行投资。最后，必须为用户提供培训。”</w:t>
            </w:r>
          </w:p>
          <w:p w14:paraId="761F309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我们与许多有兴趣开发类似模式的地方当局进行了交流。以下是一些注意事项：</w:t>
            </w:r>
          </w:p>
          <w:p w14:paraId="11D7ADC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考虑所需的时间、资源和技术技能。在开始之前考虑什么是可实现的。需求包括开发工具的时间和成本，以及吸引和培训同事的方法。</w:t>
            </w:r>
          </w:p>
          <w:p w14:paraId="65C4189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在开始之前，争取最高层和整个组织的支持。康沃尔郡议会的首席执行官和政治领导人都是CDDW的坚定支持者，这有助于其广泛采用。</w:t>
            </w:r>
          </w:p>
          <w:p w14:paraId="69201F9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制定内部沟通计划，以帮助每个人了解变革的原因以及新的决策过程将如何运作。</w:t>
            </w:r>
          </w:p>
          <w:p w14:paraId="5EDA708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使工具具有相关性。问题和方法基于康沃尔的地理、经济、人民和优先事项。这对每个议会来说都是不同的，因此，要充分利用任何工具，生成自己的方法论至关重要。</w:t>
            </w:r>
          </w:p>
        </w:tc>
      </w:tr>
      <w:tr w14:paraId="52F1CC9A">
        <w:trPr>
          <w:jc w:val="center"/>
        </w:trPr>
        <w:tc>
          <w:tcPr>
            <w:tcW w:w="1707" w:type="dxa"/>
            <w:shd w:val="clear" w:color="auto" w:fill="EAF2F8"/>
            <w:tcMar>
              <w:top w:w="90" w:type="dxa"/>
              <w:left w:w="100" w:type="dxa"/>
              <w:bottom w:w="90" w:type="dxa"/>
              <w:right w:w="100" w:type="dxa"/>
            </w:tcMar>
            <w:vAlign w:val="center"/>
          </w:tcPr>
          <w:p w14:paraId="1A3F8CB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你的判断</w:t>
            </w:r>
          </w:p>
        </w:tc>
        <w:tc>
          <w:tcPr>
            <w:tcW w:w="6799" w:type="dxa"/>
            <w:tcMar>
              <w:top w:w="90" w:type="dxa"/>
              <w:left w:w="100" w:type="dxa"/>
              <w:bottom w:w="90" w:type="dxa"/>
              <w:right w:w="100" w:type="dxa"/>
            </w:tcMar>
            <w:vAlign w:val="center"/>
          </w:tcPr>
          <w:p w14:paraId="13C8DB8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是否可用于论文：☑核心文献  □辅助文献  □备用资料</w:t>
            </w:r>
            <w:r>
              <w:rPr>
                <w:rFonts w:hint="eastAsia"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val="en-US" w:eastAsia="zh-CN"/>
              </w:rPr>
              <w:t>可信度：☑高  □中  □低</w:t>
            </w:r>
          </w:p>
        </w:tc>
      </w:tr>
    </w:tbl>
    <w:p w14:paraId="40E6A8F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文献 7</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6785"/>
      </w:tblGrid>
      <w:tr w14:paraId="524A5788">
        <w:trPr>
          <w:jc w:val="center"/>
        </w:trPr>
        <w:tc>
          <w:tcPr>
            <w:tcW w:w="1721" w:type="dxa"/>
            <w:shd w:val="clear" w:color="auto" w:fill="EAF2F8"/>
            <w:tcMar>
              <w:top w:w="90" w:type="dxa"/>
              <w:left w:w="100" w:type="dxa"/>
              <w:bottom w:w="90" w:type="dxa"/>
              <w:right w:w="100" w:type="dxa"/>
            </w:tcMar>
            <w:vAlign w:val="center"/>
          </w:tcPr>
          <w:p w14:paraId="7D66B2F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文献题目</w:t>
            </w:r>
          </w:p>
        </w:tc>
        <w:tc>
          <w:tcPr>
            <w:tcW w:w="6785" w:type="dxa"/>
            <w:tcMar>
              <w:top w:w="90" w:type="dxa"/>
              <w:left w:w="100" w:type="dxa"/>
              <w:bottom w:w="90" w:type="dxa"/>
              <w:right w:w="100" w:type="dxa"/>
            </w:tcMar>
            <w:vAlign w:val="center"/>
          </w:tcPr>
          <w:p w14:paraId="01D4235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Towards a sustainable Cornwall: State of the Doughnut</w:t>
            </w:r>
          </w:p>
        </w:tc>
      </w:tr>
      <w:tr w14:paraId="49877BBF">
        <w:trPr>
          <w:jc w:val="center"/>
        </w:trPr>
        <w:tc>
          <w:tcPr>
            <w:tcW w:w="1721" w:type="dxa"/>
            <w:shd w:val="clear" w:color="auto" w:fill="EAF2F8"/>
            <w:tcMar>
              <w:top w:w="90" w:type="dxa"/>
              <w:left w:w="100" w:type="dxa"/>
              <w:bottom w:w="90" w:type="dxa"/>
              <w:right w:w="100" w:type="dxa"/>
            </w:tcMar>
            <w:vAlign w:val="center"/>
          </w:tcPr>
          <w:p w14:paraId="09AD3F8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作者/机构</w:t>
            </w:r>
          </w:p>
        </w:tc>
        <w:tc>
          <w:tcPr>
            <w:tcW w:w="6785" w:type="dxa"/>
            <w:tcMar>
              <w:top w:w="90" w:type="dxa"/>
              <w:left w:w="100" w:type="dxa"/>
              <w:bottom w:w="90" w:type="dxa"/>
              <w:right w:w="100" w:type="dxa"/>
            </w:tcMar>
            <w:vAlign w:val="center"/>
          </w:tcPr>
          <w:p w14:paraId="78EB604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Turner, R., Poznansky, F., Smirthwaite, N., Blundell, A., Benson, D., Gaston, K.J., Hamshar, J., Maclean, I., Wills, J., Yan, X. / University of Exeter, Environment and Sustainability Institute (ESI)</w:t>
            </w:r>
          </w:p>
        </w:tc>
      </w:tr>
      <w:tr w14:paraId="4321F9A7">
        <w:trPr>
          <w:jc w:val="center"/>
        </w:trPr>
        <w:tc>
          <w:tcPr>
            <w:tcW w:w="1721" w:type="dxa"/>
            <w:shd w:val="clear" w:color="auto" w:fill="EAF2F8"/>
            <w:tcMar>
              <w:top w:w="90" w:type="dxa"/>
              <w:left w:w="100" w:type="dxa"/>
              <w:bottom w:w="90" w:type="dxa"/>
              <w:right w:w="100" w:type="dxa"/>
            </w:tcMar>
            <w:vAlign w:val="center"/>
          </w:tcPr>
          <w:p w14:paraId="58215E0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来源类型</w:t>
            </w:r>
          </w:p>
        </w:tc>
        <w:tc>
          <w:tcPr>
            <w:tcW w:w="6785" w:type="dxa"/>
            <w:tcMar>
              <w:top w:w="90" w:type="dxa"/>
              <w:left w:w="100" w:type="dxa"/>
              <w:bottom w:w="90" w:type="dxa"/>
              <w:right w:w="100" w:type="dxa"/>
            </w:tcMar>
            <w:vAlign w:val="center"/>
          </w:tcPr>
          <w:p w14:paraId="56F6E62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学术研究报告</w:t>
            </w:r>
          </w:p>
        </w:tc>
      </w:tr>
      <w:tr w14:paraId="038477F4">
        <w:trPr>
          <w:jc w:val="center"/>
        </w:trPr>
        <w:tc>
          <w:tcPr>
            <w:tcW w:w="1721" w:type="dxa"/>
            <w:shd w:val="clear" w:color="auto" w:fill="EAF2F8"/>
            <w:tcMar>
              <w:top w:w="90" w:type="dxa"/>
              <w:left w:w="100" w:type="dxa"/>
              <w:bottom w:w="90" w:type="dxa"/>
              <w:right w:w="100" w:type="dxa"/>
            </w:tcMar>
            <w:vAlign w:val="center"/>
          </w:tcPr>
          <w:p w14:paraId="004B255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链接或数据库</w:t>
            </w:r>
          </w:p>
        </w:tc>
        <w:tc>
          <w:tcPr>
            <w:tcW w:w="6785" w:type="dxa"/>
            <w:tcMar>
              <w:top w:w="90" w:type="dxa"/>
              <w:left w:w="100" w:type="dxa"/>
              <w:bottom w:w="90" w:type="dxa"/>
              <w:right w:w="100" w:type="dxa"/>
            </w:tcMar>
            <w:vAlign w:val="center"/>
          </w:tcPr>
          <w:p w14:paraId="24D75DB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https://www.exeter.ac.uk/research/institutes/esi/research/impact-towardsasustainablecornwall/</w:t>
            </w:r>
          </w:p>
        </w:tc>
      </w:tr>
      <w:tr w14:paraId="0C4369CF">
        <w:trPr>
          <w:jc w:val="center"/>
        </w:trPr>
        <w:tc>
          <w:tcPr>
            <w:tcW w:w="1721" w:type="dxa"/>
            <w:shd w:val="clear" w:color="auto" w:fill="EAF2F8"/>
            <w:tcMar>
              <w:top w:w="90" w:type="dxa"/>
              <w:left w:w="100" w:type="dxa"/>
              <w:bottom w:w="90" w:type="dxa"/>
              <w:right w:w="100" w:type="dxa"/>
            </w:tcMar>
            <w:vAlign w:val="center"/>
          </w:tcPr>
          <w:p w14:paraId="24CAB7F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发布时间</w:t>
            </w:r>
          </w:p>
        </w:tc>
        <w:tc>
          <w:tcPr>
            <w:tcW w:w="6785" w:type="dxa"/>
            <w:tcMar>
              <w:top w:w="90" w:type="dxa"/>
              <w:left w:w="100" w:type="dxa"/>
              <w:bottom w:w="90" w:type="dxa"/>
              <w:right w:w="100" w:type="dxa"/>
            </w:tcMar>
            <w:vAlign w:val="center"/>
          </w:tcPr>
          <w:p w14:paraId="1D6DB90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2020年10月</w:t>
            </w:r>
          </w:p>
        </w:tc>
      </w:tr>
      <w:tr w14:paraId="40E5BE05">
        <w:trPr>
          <w:jc w:val="center"/>
        </w:trPr>
        <w:tc>
          <w:tcPr>
            <w:tcW w:w="1721" w:type="dxa"/>
            <w:shd w:val="clear" w:color="auto" w:fill="EAF2F8"/>
            <w:tcMar>
              <w:top w:w="90" w:type="dxa"/>
              <w:left w:w="100" w:type="dxa"/>
              <w:bottom w:w="90" w:type="dxa"/>
              <w:right w:w="100" w:type="dxa"/>
            </w:tcMar>
            <w:vAlign w:val="center"/>
          </w:tcPr>
          <w:p w14:paraId="1A833F5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为什么值得收集</w:t>
            </w:r>
          </w:p>
        </w:tc>
        <w:tc>
          <w:tcPr>
            <w:tcW w:w="6785" w:type="dxa"/>
            <w:tcMar>
              <w:top w:w="90" w:type="dxa"/>
              <w:left w:w="100" w:type="dxa"/>
              <w:bottom w:w="90" w:type="dxa"/>
              <w:right w:w="100" w:type="dxa"/>
            </w:tcMar>
            <w:vAlign w:val="center"/>
          </w:tcPr>
          <w:p w14:paraId="5EC29E6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这是康沃尔甜甜圈计划的首份基础研究报告，直接解释了康沃尔为什么采用甜甜圈（气候紧急状态+高度贫困），明确了评估框架、指标选择和五大系列报告的规划，是回答“为什么采用”和“做了什么”的核心原始文献。</w:t>
            </w:r>
          </w:p>
          <w:p w14:paraId="37FA7BA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p>
        </w:tc>
      </w:tr>
      <w:tr w14:paraId="73EF7BA7">
        <w:trPr>
          <w:jc w:val="center"/>
        </w:trPr>
        <w:tc>
          <w:tcPr>
            <w:tcW w:w="1721" w:type="dxa"/>
            <w:shd w:val="clear" w:color="auto" w:fill="EAF2F8"/>
            <w:tcMar>
              <w:top w:w="90" w:type="dxa"/>
              <w:left w:w="100" w:type="dxa"/>
              <w:bottom w:w="90" w:type="dxa"/>
              <w:right w:w="100" w:type="dxa"/>
            </w:tcMar>
            <w:vAlign w:val="center"/>
          </w:tcPr>
          <w:p w14:paraId="61CB62E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原文</w:t>
            </w:r>
          </w:p>
        </w:tc>
        <w:tc>
          <w:tcPr>
            <w:tcW w:w="6785" w:type="dxa"/>
            <w:tcMar>
              <w:top w:w="90" w:type="dxa"/>
              <w:left w:w="100" w:type="dxa"/>
              <w:bottom w:w="90" w:type="dxa"/>
              <w:right w:w="100" w:type="dxa"/>
            </w:tcMar>
            <w:vAlign w:val="center"/>
          </w:tcPr>
          <w:p w14:paraId="258FDF4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节选</w:t>
            </w:r>
          </w:p>
          <w:p w14:paraId="4111C63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From page 3 (1 INTRODUCTION):</w:t>
            </w:r>
          </w:p>
          <w:p w14:paraId="4712CD9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As a region, Cornwall is taking strident steps towards addressing some of these challenges, having already embarked on an ambitious agenda to pursue environmental sustainability, as evidenced by Cornwall Council's Environmental Growth Strategy, Climate Emergency declaration and action plan, and commitment to a 'Carbon Neutral Cornwall' [1,2]. At the same time, there is a pressing need to improve living standards among Cornwall's residents, many of whom live in areas of high multiple deprivation [3].</w:t>
            </w:r>
          </w:p>
          <w:p w14:paraId="47B63C1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Cornwall Council has identified the 'Doughnut economics' model (Raworth, 2017) as a useful framework to pursue the goal of meeting people's needs within environmental limits, and has developed a decision-making wheel based upon the model (Figure 1), which it is using to assess the impact of specific policy decisions or interventions[4]. At the same time, there is a need for a higher-level assessment of the current state of social and ecological conditions across Cornwall to inform progress towards agreed strategic priorities.</w:t>
            </w:r>
          </w:p>
          <w:p w14:paraId="2A11F6D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From page 4 (1 INTRODUCTION continued):</w:t>
            </w:r>
          </w:p>
          <w:p w14:paraId="4E28561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This report presents an initial assessment of the 'state of the Doughnut' in Cornwall, providing a baseline from which to evaluate progress towards achieving a social foundation that meets human needs while also reducing environmental pressures. By developing a dataset that can be regularly revisited to assess progress this assessment has longer-term potential to inform reporting to the Cornwall and Isles of Scilly Leadership Board on ecological and social trends.</w:t>
            </w:r>
          </w:p>
          <w:p w14:paraId="146CA9A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This report aims to assist Cornwall Council and other key stakeholders to identify appropriate indicators that can be used to track progress across the wider context in which the decision-making wheel is used. By assessing available data and identifying gaps, this 'state of the Doughnut' report is designed to provide a benchmark to help sustainable development in Cornwall.</w:t>
            </w:r>
          </w:p>
          <w:p w14:paraId="7D42D49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From page 5 (2 THE DOUGHNUT ECONOMICS MODEL):</w:t>
            </w:r>
          </w:p>
          <w:p w14:paraId="0AB92E9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Doughnut economics model incorporates a focus on social and planetary boundaries (Figure 2) and was devised by economist Kate Raworth (2012) as a compass for guiding human prosperity this century [5]. Raworth states that any vision of sustainable development must recognise "a social foundation of well-being that no one should fall below and an ecological ceiling of planetary pressure that we should not go beyond...between lies a safe and just space for all" [4].</w:t>
            </w:r>
          </w:p>
          <w:p w14:paraId="2E10F7B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From page 7 (3 THE STATE OF THE DOUGHNUT IN CORNWALL):</w:t>
            </w:r>
          </w:p>
          <w:p w14:paraId="771C28A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This 'state of the Doughnut' report has a different purpose to Cornwall's Decision-Making Wheel; the former aims to provide an overview of the situation at the scale of the county (and where possible, incorporate the Isles of Scilly) whereas the latter is designed to aid project decision making on a case-by-case basis.</w:t>
            </w:r>
          </w:p>
          <w:p w14:paraId="5C40613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From page 8 (3.1 DEFINING THE DOMAINS):</w:t>
            </w:r>
          </w:p>
          <w:p w14:paraId="2E6DE85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Significant changes made in relation to the social foundation include the following domains: Gender equality, which was included in the original Raworth model but not in The UK Doughnut report or Cornwall's Decision-Making Wheel... Income and work were differentiated in The UK Doughnut report, recognising that work reflects more than remuneration... We have adopted this approach for the 'state of the Doughnut' and have not used the broader focus on wealth as used in Cornwall's Decision-Making Wheel.</w:t>
            </w:r>
          </w:p>
          <w:p w14:paraId="7F3B351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From page 44 (8 CONCLUSIONS):</w:t>
            </w:r>
          </w:p>
          <w:p w14:paraId="7F2F534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This report presents an initial assessment of the 'state of the Doughnut' in Cornwall (and the Isles of Scilly where possible). It has considered how the domains of the doughnut economics model can be meaningfully interpreted and applied at the relevant spatial scale to focus on outcomes that are central to sustainable development priorities in the region.</w:t>
            </w:r>
          </w:p>
          <w:p w14:paraId="5985D9A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In consultation with regional researchers and practitioners, we have reviewed and identified the available datasets relevant to each domain, to propose indicators that can be used to monitor status and trends over time. The proposed indicators provide a baseline from which to evaluate progress towards achieving a social foundation that meets human needs while also reducing environmental pressures.</w:t>
            </w:r>
          </w:p>
          <w:p w14:paraId="1C92FE8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This collaborative initiative represents an early example of experimentation with the doughnut economics model as a tool to embed and monitor progress towards sustainable development. As such, it makes an important contribution to a wider set of initiatives engaged in 'downscaling the doughnut' to inform sustainable development within a particular geographic area [103].</w:t>
            </w:r>
          </w:p>
          <w:p w14:paraId="3AEF580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p>
        </w:tc>
      </w:tr>
      <w:tr w14:paraId="5E0DE96A">
        <w:trPr>
          <w:jc w:val="center"/>
        </w:trPr>
        <w:tc>
          <w:tcPr>
            <w:tcW w:w="1721" w:type="dxa"/>
            <w:shd w:val="clear" w:color="auto" w:fill="EAF2F8"/>
            <w:tcMar>
              <w:top w:w="90" w:type="dxa"/>
              <w:left w:w="100" w:type="dxa"/>
              <w:bottom w:w="90" w:type="dxa"/>
              <w:right w:w="100" w:type="dxa"/>
            </w:tcMar>
            <w:vAlign w:val="center"/>
          </w:tcPr>
          <w:p w14:paraId="0EAB8FF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中文翻译</w:t>
            </w:r>
          </w:p>
        </w:tc>
        <w:tc>
          <w:tcPr>
            <w:tcW w:w="6785" w:type="dxa"/>
            <w:tcMar>
              <w:top w:w="90" w:type="dxa"/>
              <w:left w:w="100" w:type="dxa"/>
              <w:bottom w:w="90" w:type="dxa"/>
              <w:right w:w="100" w:type="dxa"/>
            </w:tcMar>
            <w:vAlign w:val="center"/>
          </w:tcPr>
          <w:p w14:paraId="1F46D0C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第3页（第1章 引言）：</w:t>
            </w:r>
          </w:p>
          <w:p w14:paraId="64FF764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作为一个地区，康沃尔正在采取果断措施应对其中一些挑战，其已着手推行一项雄心勃勃的环境可持续议程，康沃尔郡议会的《环境增长战略》、气候紧急状态宣言和行动计划以及“碳中和康沃尔”的承诺都证明了这一点[1,2]。与此同时，迫切需要提高康沃尔居民的生活水平，其中许多人生活在高度多重贫困的地区[3]。</w:t>
            </w:r>
          </w:p>
          <w:p w14:paraId="1DC54F4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康沃尔郡议会已将“甜甜圈经济学”模型（Raworth, 2017）确定为在环境限度内满足人们需求的有用框架，并基于该模型开发了一个决策轮（图1），用于评估特定政策决策或干预措施的影响[4]。与此同时，需要对康沃尔当前的社会和生态状况进行更高层次的评估，以了解在实现商定的战略优先事项方面的进展。</w:t>
            </w:r>
          </w:p>
          <w:p w14:paraId="66AE8F9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第4页（第1章 引言 续）：</w:t>
            </w:r>
          </w:p>
          <w:p w14:paraId="3E930EC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本报告对康沃尔的“甜甜圈状态”进行了初步评估，提供了一个基线，用于评估在满足人类需求的同时减少环境压力方面取得的进展。通过开发一个可以定期重新访问以评估进展的数据集，本次评估具有长期潜力，可为向康沃尔和锡利群岛领导委员会报告生态和社会趋势提供信息。</w:t>
            </w:r>
          </w:p>
          <w:p w14:paraId="0F8D1F4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本报告旨在协助康沃尔郡议会和其他主要利益相关者确定适当的指标，用于追踪决策轮所使用的更广泛背景下的进展。通过评估可用数据和识别差距，本“甜甜圈状态”报告旨在为康沃尔的可持续发展提供一个基准。</w:t>
            </w:r>
          </w:p>
          <w:p w14:paraId="69EAA04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第5页（第2章 甜甜圈经济学模型）：</w:t>
            </w:r>
          </w:p>
          <w:p w14:paraId="0F399C8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甜甜圈经济学模型融合了社会与地球边界的关注（图2），由经济学家凯特·拉沃斯（2012年）设计，作为指引本世纪人类繁荣的指南针[5]。拉沃斯指出，任何可持续发展的愿景都必须承认“一个任何人都不应低于的社会福祉基础和不应超越的地球压力生态天花板……介于两者之间的是一个为所有人提供安全和公正的空间”[4]。</w:t>
            </w:r>
          </w:p>
          <w:p w14:paraId="60ACD88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第7页（第3章 康沃尔的甜甜圈状态）：</w:t>
            </w:r>
          </w:p>
          <w:p w14:paraId="60905A9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本“甜甜圈状态”报告与康沃尔的决策轮目的不同；前者旨在提供康沃尔郡（以及可能包括锡利群岛）层面的状况概览，而后者旨在逐案辅助项目决策。</w:t>
            </w:r>
          </w:p>
          <w:p w14:paraId="7858421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第8页（第3.1节 定义领域）：</w:t>
            </w:r>
          </w:p>
          <w:p w14:paraId="01E6483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对社会基础做出的重大更改包括以下领域：性别平等，它包含在拉沃斯的原始模型中，但未包含在英国甜甜圈报告或康沃尔的决策轮中……英国甜甜圈报告将收入和工作区分开来，认识到工作不仅仅代表报酬……我们在“甜甜圈状态”中采用了这种方法，没有使用康沃尔决策轮中对财富的更广泛关注。</w:t>
            </w:r>
          </w:p>
          <w:p w14:paraId="467F259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第44页（第8章 结论）：</w:t>
            </w:r>
          </w:p>
          <w:p w14:paraId="6B170E4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本报告对康沃尔（以及可能包括锡利群岛）的“甜甜圈状态”进行了初步评估。它考虑了如何在相关空间尺度上对甜甜圈经济学模型的各个领域进行有意义的解释和应用，以关注该地区可持续发展优先事项的核心成果。</w:t>
            </w:r>
          </w:p>
          <w:p w14:paraId="026B477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在与地区研究人员和实践者协商后，我们审查并确定了与各领域相关的可用数据集，以提出可用于监测随时间变化的状态和趋势的指标。所提出的指标提供了一个基线，用于评估在满足人类需求的同时减少环境压力方面取得的进展。</w:t>
            </w:r>
          </w:p>
          <w:p w14:paraId="2681647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这项合作倡议是将甜甜圈经济学模型作为嵌入和监测可持续发展进展的工具进行早期实验的一个例子。因此，它为更广泛的“将甜甜圈下沉”以指导特定地理区域内可持续发展的倡议做出了重要贡献[103]。</w:t>
            </w:r>
          </w:p>
        </w:tc>
      </w:tr>
      <w:tr w14:paraId="100A2E66">
        <w:trPr>
          <w:jc w:val="center"/>
        </w:trPr>
        <w:tc>
          <w:tcPr>
            <w:tcW w:w="1721" w:type="dxa"/>
            <w:shd w:val="clear" w:color="auto" w:fill="EAF2F8"/>
            <w:tcMar>
              <w:top w:w="90" w:type="dxa"/>
              <w:left w:w="100" w:type="dxa"/>
              <w:bottom w:w="90" w:type="dxa"/>
              <w:right w:w="100" w:type="dxa"/>
            </w:tcMar>
            <w:vAlign w:val="center"/>
          </w:tcPr>
          <w:p w14:paraId="49E3148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你的判断</w:t>
            </w:r>
          </w:p>
        </w:tc>
        <w:tc>
          <w:tcPr>
            <w:tcW w:w="6785" w:type="dxa"/>
            <w:tcMar>
              <w:top w:w="90" w:type="dxa"/>
              <w:left w:w="100" w:type="dxa"/>
              <w:bottom w:w="90" w:type="dxa"/>
              <w:right w:w="100" w:type="dxa"/>
            </w:tcMar>
            <w:vAlign w:val="center"/>
          </w:tcPr>
          <w:p w14:paraId="4DE657B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是否可用于论文：☑核心文献  □辅助文献  □备用资料</w:t>
            </w:r>
            <w:r>
              <w:rPr>
                <w:rFonts w:hint="eastAsia"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val="en-US" w:eastAsia="zh-CN"/>
              </w:rPr>
              <w:t>可信度：☑高  □中  □低</w:t>
            </w:r>
          </w:p>
        </w:tc>
      </w:tr>
    </w:tbl>
    <w:p w14:paraId="77C821A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文献 8</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6757"/>
      </w:tblGrid>
      <w:tr w14:paraId="108C2163">
        <w:trPr>
          <w:jc w:val="center"/>
        </w:trPr>
        <w:tc>
          <w:tcPr>
            <w:tcW w:w="1749" w:type="dxa"/>
            <w:shd w:val="clear" w:color="auto" w:fill="EAF2F8"/>
            <w:tcMar>
              <w:top w:w="90" w:type="dxa"/>
              <w:left w:w="100" w:type="dxa"/>
              <w:bottom w:w="90" w:type="dxa"/>
              <w:right w:w="100" w:type="dxa"/>
            </w:tcMar>
            <w:vAlign w:val="center"/>
          </w:tcPr>
          <w:p w14:paraId="5D843B0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文献题目</w:t>
            </w:r>
          </w:p>
        </w:tc>
        <w:tc>
          <w:tcPr>
            <w:tcW w:w="6757" w:type="dxa"/>
            <w:tcMar>
              <w:top w:w="90" w:type="dxa"/>
              <w:left w:w="100" w:type="dxa"/>
              <w:bottom w:w="90" w:type="dxa"/>
              <w:right w:w="100" w:type="dxa"/>
            </w:tcMar>
            <w:vAlign w:val="center"/>
          </w:tcPr>
          <w:p w14:paraId="73A2354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How Cornwall Council uses a simple tool to make decisions</w:t>
            </w:r>
          </w:p>
        </w:tc>
      </w:tr>
      <w:tr w14:paraId="71907A96">
        <w:trPr>
          <w:jc w:val="center"/>
        </w:trPr>
        <w:tc>
          <w:tcPr>
            <w:tcW w:w="1749" w:type="dxa"/>
            <w:shd w:val="clear" w:color="auto" w:fill="EAF2F8"/>
            <w:tcMar>
              <w:top w:w="90" w:type="dxa"/>
              <w:left w:w="100" w:type="dxa"/>
              <w:bottom w:w="90" w:type="dxa"/>
              <w:right w:w="100" w:type="dxa"/>
            </w:tcMar>
            <w:vAlign w:val="center"/>
          </w:tcPr>
          <w:p w14:paraId="1189D7A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作者/机构</w:t>
            </w:r>
          </w:p>
        </w:tc>
        <w:tc>
          <w:tcPr>
            <w:tcW w:w="6757" w:type="dxa"/>
            <w:tcMar>
              <w:top w:w="90" w:type="dxa"/>
              <w:left w:w="100" w:type="dxa"/>
              <w:bottom w:w="90" w:type="dxa"/>
              <w:right w:w="100" w:type="dxa"/>
            </w:tcMar>
            <w:vAlign w:val="center"/>
          </w:tcPr>
          <w:p w14:paraId="15E131D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Friends of the Earth</w:t>
            </w:r>
          </w:p>
        </w:tc>
      </w:tr>
      <w:tr w14:paraId="66E25C48">
        <w:trPr>
          <w:jc w:val="center"/>
        </w:trPr>
        <w:tc>
          <w:tcPr>
            <w:tcW w:w="1749" w:type="dxa"/>
            <w:shd w:val="clear" w:color="auto" w:fill="EAF2F8"/>
            <w:tcMar>
              <w:top w:w="90" w:type="dxa"/>
              <w:left w:w="100" w:type="dxa"/>
              <w:bottom w:w="90" w:type="dxa"/>
              <w:right w:w="100" w:type="dxa"/>
            </w:tcMar>
            <w:vAlign w:val="center"/>
          </w:tcPr>
          <w:p w14:paraId="683C8FD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来源类型</w:t>
            </w:r>
          </w:p>
        </w:tc>
        <w:tc>
          <w:tcPr>
            <w:tcW w:w="6757" w:type="dxa"/>
            <w:tcMar>
              <w:top w:w="90" w:type="dxa"/>
              <w:left w:w="100" w:type="dxa"/>
              <w:bottom w:w="90" w:type="dxa"/>
              <w:right w:w="100" w:type="dxa"/>
            </w:tcMar>
            <w:vAlign w:val="center"/>
          </w:tcPr>
          <w:p w14:paraId="3F13208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第三方机构案例研究</w:t>
            </w:r>
          </w:p>
        </w:tc>
      </w:tr>
      <w:tr w14:paraId="66115841">
        <w:trPr>
          <w:jc w:val="center"/>
        </w:trPr>
        <w:tc>
          <w:tcPr>
            <w:tcW w:w="1749" w:type="dxa"/>
            <w:shd w:val="clear" w:color="auto" w:fill="EAF2F8"/>
            <w:tcMar>
              <w:top w:w="90" w:type="dxa"/>
              <w:left w:w="100" w:type="dxa"/>
              <w:bottom w:w="90" w:type="dxa"/>
              <w:right w:w="100" w:type="dxa"/>
            </w:tcMar>
            <w:vAlign w:val="center"/>
          </w:tcPr>
          <w:p w14:paraId="0D49F25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链接或数据库</w:t>
            </w:r>
          </w:p>
        </w:tc>
        <w:tc>
          <w:tcPr>
            <w:tcW w:w="6757" w:type="dxa"/>
            <w:tcMar>
              <w:top w:w="90" w:type="dxa"/>
              <w:left w:w="100" w:type="dxa"/>
              <w:bottom w:w="90" w:type="dxa"/>
              <w:right w:w="100" w:type="dxa"/>
            </w:tcMar>
            <w:vAlign w:val="center"/>
          </w:tcPr>
          <w:p w14:paraId="34DA266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https://groups.friendsoftheearth.uk/climate-action/how-cornwall-council-uses-simple-tool-make-decisions</w:t>
            </w:r>
          </w:p>
        </w:tc>
      </w:tr>
      <w:tr w14:paraId="62203EF0">
        <w:trPr>
          <w:jc w:val="center"/>
        </w:trPr>
        <w:tc>
          <w:tcPr>
            <w:tcW w:w="1749" w:type="dxa"/>
            <w:shd w:val="clear" w:color="auto" w:fill="EAF2F8"/>
            <w:tcMar>
              <w:top w:w="90" w:type="dxa"/>
              <w:left w:w="100" w:type="dxa"/>
              <w:bottom w:w="90" w:type="dxa"/>
              <w:right w:w="100" w:type="dxa"/>
            </w:tcMar>
            <w:vAlign w:val="center"/>
          </w:tcPr>
          <w:p w14:paraId="3B6C162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发布时间</w:t>
            </w:r>
          </w:p>
        </w:tc>
        <w:tc>
          <w:tcPr>
            <w:tcW w:w="6757" w:type="dxa"/>
            <w:tcMar>
              <w:top w:w="90" w:type="dxa"/>
              <w:left w:w="100" w:type="dxa"/>
              <w:bottom w:w="90" w:type="dxa"/>
              <w:right w:w="100" w:type="dxa"/>
            </w:tcMar>
            <w:vAlign w:val="center"/>
          </w:tcPr>
          <w:p w14:paraId="41FB1F6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2024年9月20日</w:t>
            </w:r>
          </w:p>
        </w:tc>
      </w:tr>
      <w:tr w14:paraId="11B1D392">
        <w:trPr>
          <w:jc w:val="center"/>
        </w:trPr>
        <w:tc>
          <w:tcPr>
            <w:tcW w:w="1749" w:type="dxa"/>
            <w:shd w:val="clear" w:color="auto" w:fill="EAF2F8"/>
            <w:tcMar>
              <w:top w:w="90" w:type="dxa"/>
              <w:left w:w="100" w:type="dxa"/>
              <w:bottom w:w="90" w:type="dxa"/>
              <w:right w:w="100" w:type="dxa"/>
            </w:tcMar>
            <w:vAlign w:val="center"/>
          </w:tcPr>
          <w:p w14:paraId="6CDFB05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为什么值得收集</w:t>
            </w:r>
          </w:p>
        </w:tc>
        <w:tc>
          <w:tcPr>
            <w:tcW w:w="6757" w:type="dxa"/>
            <w:tcMar>
              <w:top w:w="90" w:type="dxa"/>
              <w:left w:w="100" w:type="dxa"/>
              <w:bottom w:w="90" w:type="dxa"/>
              <w:right w:w="100" w:type="dxa"/>
            </w:tcMar>
            <w:vAlign w:val="center"/>
          </w:tcPr>
          <w:p w14:paraId="604A101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本文是“地球之友”气候行动计划50个措施中第一项行动的实践展示</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"https://groups.friendsoftheearth.uk/climate-action/how-cornwall-council-uses-simple-tool-make-decisions"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作为一种外部权威环保机构的第三方视角，它可与康沃尔议会的官方说法相互印证，提供了客观评估。同时，文中详细阐述了“甜甜圈经济学”与“决策轮”的原理，描述了从2019年9月至2021年~2022年的应用扩展进程</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"https://groups.friendsoftheearth.uk/climate-action/how-cornwall-council-uses-simple-tool-make-decisions"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，并特别引用了康沃尔太空港（Spaceport Cornwall） 这一具体案例，揭示了决策轮如何促成实际的环境改善措施</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"https://groups.friendsoftheearth.uk/climate-action/how-cornwall-council-uses-simple-tool-make-decisions"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。这为论证“甜甜圈”工具的有效性及项目“推进到什么程度”提供了有力的原始证据。</w:t>
            </w:r>
          </w:p>
          <w:p w14:paraId="1FD7BBF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p>
        </w:tc>
      </w:tr>
      <w:tr w14:paraId="281E66A9">
        <w:trPr>
          <w:jc w:val="center"/>
        </w:trPr>
        <w:tc>
          <w:tcPr>
            <w:tcW w:w="1749" w:type="dxa"/>
            <w:shd w:val="clear" w:color="auto" w:fill="EAF2F8"/>
            <w:tcMar>
              <w:top w:w="90" w:type="dxa"/>
              <w:left w:w="100" w:type="dxa"/>
              <w:bottom w:w="90" w:type="dxa"/>
              <w:right w:w="100" w:type="dxa"/>
            </w:tcMar>
            <w:vAlign w:val="center"/>
          </w:tcPr>
          <w:p w14:paraId="38E1F68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原文</w:t>
            </w:r>
          </w:p>
        </w:tc>
        <w:tc>
          <w:tcPr>
            <w:tcW w:w="6757" w:type="dxa"/>
            <w:tcMar>
              <w:top w:w="90" w:type="dxa"/>
              <w:left w:w="100" w:type="dxa"/>
              <w:bottom w:w="90" w:type="dxa"/>
              <w:right w:w="100" w:type="dxa"/>
            </w:tcMar>
            <w:vAlign w:val="center"/>
          </w:tcPr>
          <w:p w14:paraId="26FCBB8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Discover how Cornwall Council used a simple, locally-tailored tool to check the social and planetary impact of its plans and guide decision-making right across the council. Checking whether council decisions would help or hinder climate action forms part of Action 1 of the 50-point Climate Action Plan for Councils.</w:t>
            </w:r>
          </w:p>
          <w:p w14:paraId="1BFB087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How is Action 1 tackling the climate crisis?</w:t>
            </w:r>
          </w:p>
          <w:p w14:paraId="7428363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Cornwall Council has set a target for Cornwall to be carbon neutral by 2030. The authority is also keen to respond to the complexities of the climate crisis with ambition and imagination.</w:t>
            </w:r>
          </w:p>
          <w:p w14:paraId="02F6CBC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Part of its solution has been to implement the ground-breaking "doughnut economics" model. The principle is simple: to meet the basic needs of our population we must extract resources from the world. However, the amounts we extract and the way we do this can exceed our planet’s carrying capacity to allow us to sustainably meet our needs going forward.</w:t>
            </w:r>
          </w:p>
          <w:p w14:paraId="327AA15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Economist Kate Raworth argues we must find a safe and just space for humanity that allows us to continually meet the needs of our population while preserving and enhancing our planet’s ability to regenerate. This is visualised as a green ring (a doughnut, pictured below) between both extremes, and is the space our policies and actions must aim to land in.</w:t>
            </w:r>
          </w:p>
          <w:p w14:paraId="6AB4AA0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drawing>
                <wp:inline distT="0" distB="0" distL="114300" distR="114300">
                  <wp:extent cx="4161155" cy="4083685"/>
                  <wp:effectExtent l="0" t="0" r="4445" b="5715"/>
                  <wp:docPr id="10" name="图片 11" descr="Principle of doughnut econom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Principle of doughnut economics"/>
                          <pic:cNvPicPr>
                            <a:picLocks noChangeAspect="1"/>
                          </pic:cNvPicPr>
                        </pic:nvPicPr>
                        <pic:blipFill>
                          <a:blip r:embed="rId6"/>
                          <a:stretch>
                            <a:fillRect/>
                          </a:stretch>
                        </pic:blipFill>
                        <pic:spPr>
                          <a:xfrm>
                            <a:off x="0" y="0"/>
                            <a:ext cx="4161155" cy="4083685"/>
                          </a:xfrm>
                          <a:prstGeom prst="rect">
                            <a:avLst/>
                          </a:prstGeom>
                          <a:noFill/>
                          <a:ln w="9525">
                            <a:noFill/>
                          </a:ln>
                        </pic:spPr>
                      </pic:pic>
                    </a:graphicData>
                  </a:graphic>
                </wp:inline>
              </w:drawing>
            </w:r>
          </w:p>
          <w:p w14:paraId="1104C26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This principle is at the heart of a new tool developed by the council, called the Cornwall Council Development and Decision-Making Wheel. This tool guides officers considering a project or action through a series of questions relating to different areas, from water health to wealth inequality, and asks them to assign a score representing the potential impact of the decision in each area – positive or negative.</w:t>
            </w:r>
          </w:p>
          <w:p w14:paraId="1B9DA0F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When the scores are brought together in a clear and simple graphic, the decision wheel offers a snapshot of a complex interconnected system that decision-makers can easily digest and engage with. Since September 2019, every decision made through the council cabinet has used the decision wheel to present the potential impacts across the social and planetary boundaries. The wheel is now being rolled out for wider use in the council’s decision-making, including its 2021-22 budget setting and sustainable commissioning processes.</w:t>
            </w:r>
          </w:p>
          <w:p w14:paraId="6BD56B1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What is the impact?</w:t>
            </w:r>
          </w:p>
          <w:p w14:paraId="285DC9A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tool is embedding a new way of thinking at the council, ensuring that climate is a key consideration in decision-making.  It is focusing the limited resources of the council’s decision-making structures onto the most relevant issues which, now, formally include the environment and our impact on it. What’s more, the tool also makes it easier to identify the potential for co-benefits (alongside carbon reduction), such as job creation or improved health.</w:t>
            </w:r>
          </w:p>
          <w:p w14:paraId="4CACCD3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use of the tool allows decision-makers to consider the inter-connectedness of people and place in Cornwall, where the environment is inextricably linked to the lives of residents through tourism, farming, energy generation and a sense of collective identity. The reality that councils face is that there are no perfect decisions in a complex system. Every action will have both positive and negative consequences, but the important thing is to recognise them and build in actions to mitigate the negatives.</w:t>
            </w:r>
          </w:p>
          <w:p w14:paraId="074F517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drawing>
                <wp:inline distT="0" distB="0" distL="114300" distR="114300">
                  <wp:extent cx="4154170" cy="2936875"/>
                  <wp:effectExtent l="0" t="0" r="11430" b="9525"/>
                  <wp:docPr id="9" name="图片 12" descr="An example of Cornwall Councils decision making wheel in 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descr="An example of Cornwall Councils decision making wheel in action"/>
                          <pic:cNvPicPr>
                            <a:picLocks noChangeAspect="1"/>
                          </pic:cNvPicPr>
                        </pic:nvPicPr>
                        <pic:blipFill>
                          <a:blip r:embed="rId7"/>
                          <a:stretch>
                            <a:fillRect/>
                          </a:stretch>
                        </pic:blipFill>
                        <pic:spPr>
                          <a:xfrm>
                            <a:off x="0" y="0"/>
                            <a:ext cx="4154170" cy="2936875"/>
                          </a:xfrm>
                          <a:prstGeom prst="rect">
                            <a:avLst/>
                          </a:prstGeom>
                          <a:noFill/>
                          <a:ln w="9525">
                            <a:noFill/>
                          </a:ln>
                        </pic:spPr>
                      </pic:pic>
                    </a:graphicData>
                  </a:graphic>
                </wp:inline>
              </w:drawing>
            </w:r>
          </w:p>
          <w:p w14:paraId="3422682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For example, the wheel was put to good use in winter 2014 when it was used to assess the impact of the development of Cornwall Spaceport at Newquay Airport. The council had identified that there’d most likely be a serious emissions impact from the project but that this impact was not fully understood. The wheel helped establish emissions as a formal consideration in the decision-making process, and so the University of Exeter was then tasked with producing a study to estimate the emissions.</w:t>
            </w:r>
          </w:p>
          <w:p w14:paraId="5116F25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results of the study prompted major investment from the spaceport operator into large-scale energy efficiency improvements at the airport. Without the decision wheel, there may not have been a formal mechanism to identify and mitigate against this drawback of the project.</w:t>
            </w:r>
          </w:p>
          <w:p w14:paraId="2ECBAC5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What made this work?</w:t>
            </w:r>
          </w:p>
          <w:p w14:paraId="1A21C44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development of the wheel followed the council’s climate emergency declaration and its target of becoming net zero by 2030.  Key to this going ahead was the council’s recognition that it needed to improve how its decision-making could better take into account its own wider social justice and environmental policies and aspirations.</w:t>
            </w:r>
          </w:p>
          <w:p w14:paraId="3014C64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Strong support from the Elected Members and the Chief Executive were key to enabling this to go ahead. The initial development of the wheel was funded as part of the duties of one officer. As the tool evolved into an app during a second development phase, money was drawn specifically from the funding for the Carbon Neutral Cornwall Team, set aside for supporting the projects specified in the Climate Change Action Plan.</w:t>
            </w:r>
          </w:p>
          <w:p w14:paraId="794D27B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What resources were needed?</w:t>
            </w:r>
          </w:p>
          <w:p w14:paraId="2BD2F1A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An officer in the Carbon Neutral Cornwall Team was initially placed in charge of developing and embedding a first version of the tool, adapting it from the original Doughnut Economics model to fit with the priorities and powers of a local authority, as well as the unique environment of Cornwall itself. Usability was also a key factor in its development, with the idea that those creating and those assessing the wheel would not need to be experts in any of the areas. To this end, a set of simple and easy-to-understand questions for each segment – such as land use or air quality (see all segments in the diagram above) – was developed in conjunction with council experts in different fields, to reflect the authority’s ambitions and powers in each of those areas. This initial process took around three months.</w:t>
            </w:r>
          </w:p>
          <w:p w14:paraId="5B8AF9E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A second version of the tool is currently being rolled out. This automatically generates scores for each area based on input into an online app. It combines with the council’s existing Comprehensive Impact Assessment tool for new projects and policies to create a single project planning and impact assessment tool. It also has an in-built cumulative assessment system which gives an annual account of the decisions the council is taking.</w:t>
            </w:r>
          </w:p>
          <w:p w14:paraId="121D96F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first version of the tool was Excel-based and managed entirely by the original officer assigned to the task. The new format makes the tool much more suitable for use early in the project and policy development cycle, and so it’s better placed to achieve positive change through mitigation and evidence gathering.</w:t>
            </w:r>
          </w:p>
          <w:p w14:paraId="7CEF998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Developing the second version of the tool into a minimum viable product took around six months. This work was undertaken entirely in-house using funding from the council’s climate change budget. It’s being rolled out to the rest of the council, with widespread officer and member induction training in the use of the tool. </w:t>
            </w:r>
          </w:p>
          <w:p w14:paraId="4148737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Lessons from Cornwall</w:t>
            </w:r>
          </w:p>
          <w:p w14:paraId="4CA288C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council’s approach to implementing the project was straightforward. The principal investment in time and resources happened during the development of the second version of the tool, though this was still carried out in-house at a comparatively low cost. </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Factors essential to success include:</w:t>
            </w:r>
          </w:p>
          <w:p w14:paraId="05F39FF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Gaining the support of the council’s leadership.</w:t>
            </w:r>
          </w:p>
          <w:p w14:paraId="7B26547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Securing the resources needed to fund the development of an initial version and making sure it’s tailored to the needs of each individual local authority.</w:t>
            </w:r>
          </w:p>
          <w:p w14:paraId="6BD64B0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Buy-in from senior staff.</w:t>
            </w:r>
          </w:p>
          <w:p w14:paraId="2F6CD0F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Cornwall faced few, if any, barriers to development once these conditions were met. Officers and councillors have found the tool intuitive and extremely useful in both helping shape projects and policies to reduce the council’s impact on climate change and assessing the impacts in an easy-to-understand way.</w:t>
            </w:r>
          </w:p>
          <w:p w14:paraId="00B0FD7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To help lead officers rate each segment accurately, the tool is accompanied by detailed guidance with questions about each category carefully tailored in collaboration with representatives from key departments across the council. The guidance can be found here. This was key to securing buy-in from senior staff.</w:t>
            </w:r>
          </w:p>
          <w:p w14:paraId="2AFA833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Councils can tailor the Cornwall Wheel’s segments and questions to their own needs and policy landscape (please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"mailto:climatechange@cornwall.gov.uk"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t>contact the Carbon Neutral Cornwall team</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 for more information). But successful implementation will need active support from the highest levels of the council, and at least one dedicated officer to take ownership of it.</w:t>
            </w:r>
          </w:p>
          <w:p w14:paraId="4FE1D2A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"While carbon neutrality can be measured, our response to the climate emergency is not an exact science. As we make progress towards our 2030 target, we must also progress our ability to understand and respond to complexity and ensure the decisions we make acknowledge and embrace uncertainty. This is how we move from declaring a climate emergency to responding to a climate emergency, and most importantly, how we create a Cornwall in which one and all can thrive."</w:t>
            </w:r>
          </w:p>
          <w:p w14:paraId="2489292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Councillor Martyn Alvey, Portfolio holder for Environment and Climate Change, Cornwall Council</w:t>
            </w:r>
          </w:p>
          <w:p w14:paraId="64FEA5F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Useful information</w:t>
            </w:r>
          </w:p>
          <w:p w14:paraId="07EEBC1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For more information about the Cornwall Development and Decision Wheel please contact the Carbon Neutral Cornwall Team at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"mailto:climatechange@cornwall.gov.uk"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t>climatechange@cornwall.gov.uk</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p>
          <w:p w14:paraId="695AB91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"https://www.cornwall.gov.uk/media/43hpmphv/decision-making-wheel-flier.pdf"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t>Download a flier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 about the wheel produced by the council.</w:t>
            </w:r>
          </w:p>
          <w:p w14:paraId="37F053D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Related projects</w:t>
            </w:r>
          </w:p>
          <w:p w14:paraId="0D7EE5E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We've found some examples of other council activity on this topic.</w:t>
            </w:r>
          </w:p>
          <w:p w14:paraId="11B9882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Hammersmith and Fulham Council has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"https://www.local.gov.uk/case-studies/lb-hammersmith-and-fulham-climate-implications-toolkit"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t>developed a tool to assess the climate implications of its work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 </w:t>
            </w:r>
          </w:p>
          <w:p w14:paraId="1924631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Friends of the Earth's view</w:t>
            </w:r>
          </w:p>
          <w:p w14:paraId="479E6A4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Clear decision-making tools such as that developed by Cornwall Council will help officers and councillors make better decisions that tackle the climate and ecological emergencies whilst delivering wider benefits for their residents.</w:t>
            </w:r>
          </w:p>
          <w:p w14:paraId="2F34DDB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Cornwall’s tool is innovative and should be replicable by other councils. Time will tell whether the tool is truly transforming decision making. The example in the case study shows the tool can mitigate the impacts of a project the council was already committed to but will the council be bold enough to halt projects that would result in more carbon emissions?</w:t>
            </w:r>
          </w:p>
          <w:p w14:paraId="1012D62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Friends of the Earth is showcasing specific examples of good practice in tackling climate change, but that doesn’t mean we endorse everything that a council is doing.</w:t>
            </w:r>
          </w:p>
          <w:p w14:paraId="471577B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This case study was produced by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"https://ashden.org/"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t>Ashden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 and Friends of the Earth. It was originally published in March 2022. The council was approached for an update in June 2023; no update was provided. Any references to national policy in this case study relate to policy under the previous government and reflect the policy context in which the council was operating at the time.</w:t>
            </w:r>
          </w:p>
        </w:tc>
      </w:tr>
      <w:tr w14:paraId="620B37DD">
        <w:trPr>
          <w:jc w:val="center"/>
        </w:trPr>
        <w:tc>
          <w:tcPr>
            <w:tcW w:w="1749" w:type="dxa"/>
            <w:shd w:val="clear" w:color="auto" w:fill="EAF2F8"/>
            <w:tcMar>
              <w:top w:w="90" w:type="dxa"/>
              <w:left w:w="100" w:type="dxa"/>
              <w:bottom w:w="90" w:type="dxa"/>
              <w:right w:w="100" w:type="dxa"/>
            </w:tcMar>
            <w:vAlign w:val="center"/>
          </w:tcPr>
          <w:p w14:paraId="6462D28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中文翻译</w:t>
            </w:r>
          </w:p>
        </w:tc>
        <w:tc>
          <w:tcPr>
            <w:tcW w:w="6757" w:type="dxa"/>
            <w:tcMar>
              <w:top w:w="90" w:type="dxa"/>
              <w:left w:w="100" w:type="dxa"/>
              <w:bottom w:w="90" w:type="dxa"/>
              <w:right w:w="100" w:type="dxa"/>
            </w:tcMar>
            <w:vAlign w:val="center"/>
          </w:tcPr>
          <w:p w14:paraId="72F81B4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了解康沃尔郡议会如何使用一个简单的、因地制宜的工具来评估其计划对社会和地球的影响，并指导整个议会的决策。</w:t>
            </w:r>
          </w:p>
          <w:p w14:paraId="25C9187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核查议会决策是否有助于或阻碍气候行动，是议会气候行动50点计划中“行动1”的一部分。</w:t>
            </w:r>
          </w:p>
          <w:p w14:paraId="4BB2CAE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2024年9月20日</w:t>
            </w:r>
          </w:p>
          <w:p w14:paraId="0C876D6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行动1如何应对气候危机？</w:t>
            </w:r>
          </w:p>
          <w:p w14:paraId="7429607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康沃尔郡议会为康沃尔设定了到2030年实现碳中和的目标。该地方政府也希望以雄心和想象力应对气候危机的复杂性。</w:t>
            </w:r>
          </w:p>
          <w:p w14:paraId="17FFEA4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其解决方案之一就是实施了开创性的“甜甜圈经济学”模式。其原理很简单：为了满足我们人口的基本需求，我们必须从世界中提取资源。然而，我们提取的数量和方式可能会超出地球的承载能力，从而无法让我们可持续地满足未来的需求。</w:t>
            </w:r>
          </w:p>
          <w:p w14:paraId="5366742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经济学家凯特·拉沃斯认为，我们必须为人类找到一个安全且公正的空间，使我们既能持续满足人口的需求，又能保护和增强地球的再生能力。这一点被形象地描绘为两个极端之间的一个绿色环（即甜甜圈，如下图所示），我们的政策和行动必须瞄准这个空间。</w:t>
            </w:r>
          </w:p>
          <w:p w14:paraId="6F4002C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[甜甜圈经济学原理示意图]</w:t>
            </w:r>
          </w:p>
          <w:p w14:paraId="5242D0A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这一原则是该议会开发的一款新工具“康沃尔发展与决策轮”的核心。该工具引导考虑某个项目或行动的官员回答一系列涉及不同领域的问题，从水健康到财富不平等，并要求他们针对每个领域的潜在影响（正面或负面）给出一个评分。</w:t>
            </w:r>
          </w:p>
          <w:p w14:paraId="4B1AC90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当这些评分以清晰简单的图表汇总在一起时，决策轮就为决策者提供了一个复杂互联系统的快照，使其易于消化和理解。自2019年9月起，议会内阁的每项决策都使用决策轮来呈现其在社会保障和地球边界方面的潜在影响。该决策轮目前正被推广用于议会更广泛的决策中，包括其2021-22年的预算制定和可持续采购流程。</w:t>
            </w:r>
          </w:p>
          <w:p w14:paraId="08FD34A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有何影响？</w:t>
            </w:r>
          </w:p>
          <w:p w14:paraId="17CEDB9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该工具正在议会植入一种新的思维方式，确保气候成为决策中的关键考量。它正在将议会决策结构的有限资源集中于最相关的问题，这些问题现在正式包括环境以及我们对环境的影响。更重要的是，该工具还能更容易地识别出除碳减排之外的潜在协同效益，例如创造就业机会或改善健康。</w:t>
            </w:r>
          </w:p>
          <w:p w14:paraId="7A6E80C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该工具的使用使决策者能够考虑康沃尔人与地的相互联系——在那里，环境通过旅游、农业、能源生产和集体认同感与居民的生活密不可分。议会面临的现实是，在一个复杂的系统中不存在完美的决策。每个行动都会产生正面和负面的后果，但重要的是识别它们并采取行动来减轻负面影响。</w:t>
            </w:r>
          </w:p>
          <w:p w14:paraId="3626227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[康沃尔议会决策轮应用示例图]</w:t>
            </w:r>
          </w:p>
          <w:p w14:paraId="563230E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例如，在2014年冬季，该决策轮被有效用于评估在纽基机场开发康沃尔太空港项目的影响。议会已发现该项目极有可能产生严重的排放影响，但并未完全了解这种影响的程度。该决策轮帮助将排放问题确立为决策过程中的一个正式考量因素，因此埃克塞特大学受托进行了一项研究来估算排放量。</w:t>
            </w:r>
          </w:p>
          <w:p w14:paraId="4AA9E82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研究结果促使太空港运营商在机场进行了大规模能效改进的重大投资。如果没有这个决策轮，可能就没有一个正式的机制来识别并减轻该项目的这一弊端。</w:t>
            </w:r>
          </w:p>
          <w:p w14:paraId="230335E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是什么促成了这项工作？</w:t>
            </w:r>
          </w:p>
          <w:p w14:paraId="7A7B7C2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该决策轮的开发是在议会宣布气候紧急状态及其2030年净零排放目标之后进行的。推进这项工作的关键因素是议会认识到，它需要改进其决策方式，以更好地考虑到其自身更广泛的社会正义和环境政策与愿景。</w:t>
            </w:r>
          </w:p>
          <w:p w14:paraId="406098C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民选议员和首席执行官的强力支持是这项工作得以推进的关键。决策轮的初始开发是由一名官员的部分职责资助的。随着该工具在第二阶段开发中演变为一个应用程序，资金专门从“碳中和康沃尔团队”的预算中划拨，该预算用于支持《气候变化行动计划》中指定的项目。</w:t>
            </w:r>
          </w:p>
          <w:p w14:paraId="4A1705F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需要哪些资源？</w:t>
            </w:r>
          </w:p>
          <w:p w14:paraId="589C574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碳中和康沃尔团队”的一名官员最初负责开发和嵌入该工具的第一个版本，将其从原始的甜甜圈经济学模型进行调整，以适应地方政府的优先事项和权力，以及康沃尔独特的自然环境。可用性也是其开发过程中的一个关键因素，其理念是创建决策轮和评估决策轮的人都不需要成为任何领域的专家。为此，与议会不同领域的专家共同为每个领域（如土地利用或空气质量，见上图中的所有领域）制定了一套简单易懂的问题，以反映议会在这些领域的雄心和权力。这一初始过程大约花了三个月时间。</w:t>
            </w:r>
          </w:p>
          <w:p w14:paraId="67E10E0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该工具的第二个版本目前正在推广中。该版本根据输入到在线应用程序中的信息自动生成每个领域的评分。它与议会现有的新项目和政策“综合影响评估工具”相结合，形成了一个单一的项目规划和影响评估工具。它还有一个内置的累积评估系统，可以记录议会每年所做的决策。</w:t>
            </w:r>
          </w:p>
          <w:p w14:paraId="003AADF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该工具的第一个版本基于Excel，完全由最初负责这项任务的官员管理。新格式使该工具更适合在项目和政策开发周期的早期使用，因此它更能够通过缓解措施和证据收集来实现积极的改变。</w:t>
            </w:r>
          </w:p>
          <w:p w14:paraId="170EFEB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将工具的第二个版本开发成一个最小可行产品大约花了六个月时间。这项工作完全由内部人员使用议会气候变化预算的资金完成。该工具正在向议会其他部门推广，并对官员和议员进行广泛的使用培训。</w:t>
            </w:r>
          </w:p>
          <w:p w14:paraId="0797224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来自康沃尔的经验教训</w:t>
            </w:r>
          </w:p>
          <w:p w14:paraId="22152BB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议会实施该项目的方法很直接。主要的时间和资源投入发生在第二个版本的开发过程中，但该版本仍然是以相对较低的成本在内部完成的。</w:t>
            </w:r>
          </w:p>
          <w:p w14:paraId="577C488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成功的关键因素包括：</w:t>
            </w:r>
          </w:p>
          <w:p w14:paraId="554C8F8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获得议会领导层的支持。</w:t>
            </w:r>
          </w:p>
          <w:p w14:paraId="6CB7FA8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确保开发初始版本所需的资源，并确保它根据每个地方当局的个别需求进行定制。</w:t>
            </w:r>
          </w:p>
          <w:p w14:paraId="44C117C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获得高级职员的认同。</w:t>
            </w:r>
          </w:p>
          <w:p w14:paraId="70BF7CA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一旦这些条件得到满足，康沃尔在开发过程中几乎没有遇到任何障碍。官员和议员发现该工具直观且极其有用，既能帮助塑造项目和政策以减少议会应对气候变化的影响，也能以易于理解的方式评估这些影响。</w:t>
            </w:r>
          </w:p>
          <w:p w14:paraId="5EBD2E0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为了帮助主管官员准确地对每个领域进行评分，该工具附有详细的指导，每个类别的问题都与议会主要部门的代表合作精心定制。该指南可在此处找到。这对于获得高级职员的认同至关重要。</w:t>
            </w:r>
          </w:p>
          <w:p w14:paraId="5EC4A38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议会可以根据自己的需求和政策环境调整康沃尔决策轮的各个领域和问题（更多信息请联系“碳中和康沃尔团队”）。但成功的实施需要议会最高层的积极支持，以及至少一名专职官员负责。</w:t>
            </w:r>
          </w:p>
          <w:p w14:paraId="32605BA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康沃尔郡议会环境和气候变化事务负责人马丁·阿尔维议员表示：</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虽然碳中和是可以衡量的，但我们对气候紧急状态的应对并不是一门精确的科学。在朝着2030年目标迈进的过程中，我们还必须提高理解和应对复杂性的能力，并确保我们做出的决策承认并拥抱不确定性。这就是我们如何从宣布气候紧急状态转向应对气候紧急状态，以及最重要的是，如何创造一个能让所有人都能繁荣发展的康沃尔。”</w:t>
            </w:r>
          </w:p>
          <w:p w14:paraId="616E91A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有用信息</w:t>
            </w:r>
          </w:p>
          <w:p w14:paraId="4806DE1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有关康沃尔发展与决策轮的更多信息，请联系“碳中和康沃尔团队”：climatechange@cornwall.gov.uk</w:t>
            </w:r>
          </w:p>
          <w:p w14:paraId="14BC2BF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下载议会制作的关于该决策轮的宣传单。</w:t>
            </w:r>
          </w:p>
          <w:p w14:paraId="632A317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相关项目</w:t>
            </w:r>
          </w:p>
          <w:p w14:paraId="3E3F49E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我们找到了一些其他议会在此议题上活动的例子。</w:t>
            </w:r>
          </w:p>
          <w:p w14:paraId="1B5DE89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哈默史密斯和富勒姆议会开发了一个工具来评估其工作的气候影响。</w:t>
            </w:r>
          </w:p>
          <w:p w14:paraId="38DE419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英国地球之友的观点</w:t>
            </w:r>
          </w:p>
          <w:p w14:paraId="6625624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像康沃尔郡议会开发的那样的清晰决策工具将帮助官员和议员做出更好的决策，在应对气候和生态紧急状态的同时，为其居民带来更广泛的好处。</w:t>
            </w:r>
          </w:p>
          <w:p w14:paraId="11CF562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康沃尔的工具具有创新性，其他议会应该可以复制。时间将证明该工具是否真正改变了决策。案例研究中的例子表明，该工具可以减轻议会已经承诺的某个项目的影响，但议会有足够的勇气去叫停那些会导致更多碳排放的项目吗？</w:t>
            </w:r>
          </w:p>
          <w:p w14:paraId="4AE435B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英国地球之友正在展示应对气候变化方面的具体良好实践案例，但这并不意味着我们认可议会正在做的每一件事。</w:t>
            </w:r>
          </w:p>
          <w:p w14:paraId="397145A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本案例研究由Ashden和英国地球之友制作。最初发布于2022年3月。2023年6月曾联系议会寻求更新；但未提供更新。本案例研究中任何提及国家政策的地方，均与前政府的政策有关，并反映了当时议会运作的政策背景</w:t>
            </w:r>
            <w:r>
              <w:rPr>
                <w:rFonts w:hint="eastAsia" w:asciiTheme="minorEastAsia" w:hAnsiTheme="minorEastAsia" w:eastAsiaTheme="minorEastAsia" w:cstheme="minorEastAsia"/>
                <w:i w:val="0"/>
                <w:iCs w:val="0"/>
                <w:caps w:val="0"/>
                <w:color w:val="0F1115"/>
                <w:spacing w:val="0"/>
                <w:sz w:val="21"/>
                <w:szCs w:val="21"/>
                <w:u w:val="none"/>
                <w:lang w:val="en-US" w:eastAsia="zh-CN"/>
              </w:rPr>
              <w:t>。</w:t>
            </w:r>
          </w:p>
        </w:tc>
      </w:tr>
      <w:tr w14:paraId="49ED4188">
        <w:trPr>
          <w:jc w:val="center"/>
        </w:trPr>
        <w:tc>
          <w:tcPr>
            <w:tcW w:w="1749" w:type="dxa"/>
            <w:shd w:val="clear" w:color="auto" w:fill="EAF2F8"/>
            <w:tcMar>
              <w:top w:w="90" w:type="dxa"/>
              <w:left w:w="100" w:type="dxa"/>
              <w:bottom w:w="90" w:type="dxa"/>
              <w:right w:w="100" w:type="dxa"/>
            </w:tcMar>
            <w:vAlign w:val="center"/>
          </w:tcPr>
          <w:p w14:paraId="424AB6B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你的判断</w:t>
            </w:r>
          </w:p>
        </w:tc>
        <w:tc>
          <w:tcPr>
            <w:tcW w:w="6757" w:type="dxa"/>
            <w:tcMar>
              <w:top w:w="90" w:type="dxa"/>
              <w:left w:w="100" w:type="dxa"/>
              <w:bottom w:w="90" w:type="dxa"/>
              <w:right w:w="100" w:type="dxa"/>
            </w:tcMar>
            <w:vAlign w:val="center"/>
          </w:tcPr>
          <w:p w14:paraId="1E6E19E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是否可用于论文：☑核心文献  □辅助文献  □备用资料</w:t>
            </w:r>
            <w:r>
              <w:rPr>
                <w:rFonts w:hint="eastAsia"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val="en-US" w:eastAsia="zh-CN"/>
              </w:rPr>
              <w:t>可信度：☑高  □中  □低</w:t>
            </w:r>
          </w:p>
        </w:tc>
      </w:tr>
    </w:tbl>
    <w:p w14:paraId="015395C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文献 9</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4"/>
        <w:gridCol w:w="6782"/>
      </w:tblGrid>
      <w:tr w14:paraId="750C1588">
        <w:trPr>
          <w:jc w:val="center"/>
        </w:trPr>
        <w:tc>
          <w:tcPr>
            <w:tcW w:w="1724" w:type="dxa"/>
            <w:shd w:val="clear" w:color="auto" w:fill="EAF2F8"/>
            <w:tcMar>
              <w:top w:w="90" w:type="dxa"/>
              <w:left w:w="100" w:type="dxa"/>
              <w:bottom w:w="90" w:type="dxa"/>
              <w:right w:w="100" w:type="dxa"/>
            </w:tcMar>
            <w:vAlign w:val="center"/>
          </w:tcPr>
          <w:p w14:paraId="76E9D1D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文献题目</w:t>
            </w:r>
          </w:p>
        </w:tc>
        <w:tc>
          <w:tcPr>
            <w:tcW w:w="6782" w:type="dxa"/>
            <w:tcMar>
              <w:top w:w="90" w:type="dxa"/>
              <w:left w:w="100" w:type="dxa"/>
              <w:bottom w:w="90" w:type="dxa"/>
              <w:right w:w="100" w:type="dxa"/>
            </w:tcMar>
            <w:vAlign w:val="center"/>
          </w:tcPr>
          <w:p w14:paraId="582A750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Cornwall Council Decision Wheel</w:t>
            </w:r>
          </w:p>
        </w:tc>
      </w:tr>
      <w:tr w14:paraId="3B0C1681">
        <w:trPr>
          <w:jc w:val="center"/>
        </w:trPr>
        <w:tc>
          <w:tcPr>
            <w:tcW w:w="1724" w:type="dxa"/>
            <w:shd w:val="clear" w:color="auto" w:fill="EAF2F8"/>
            <w:tcMar>
              <w:top w:w="90" w:type="dxa"/>
              <w:left w:w="100" w:type="dxa"/>
              <w:bottom w:w="90" w:type="dxa"/>
              <w:right w:w="100" w:type="dxa"/>
            </w:tcMar>
            <w:vAlign w:val="center"/>
          </w:tcPr>
          <w:p w14:paraId="07AD8EF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作者/机构</w:t>
            </w:r>
          </w:p>
        </w:tc>
        <w:tc>
          <w:tcPr>
            <w:tcW w:w="6782" w:type="dxa"/>
            <w:tcMar>
              <w:top w:w="90" w:type="dxa"/>
              <w:left w:w="100" w:type="dxa"/>
              <w:bottom w:w="90" w:type="dxa"/>
              <w:right w:w="100" w:type="dxa"/>
            </w:tcMar>
            <w:vAlign w:val="center"/>
          </w:tcPr>
          <w:p w14:paraId="030A60B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Cllr. Edwina Hannaford / Cornwall Council (via UK100)</w:t>
            </w:r>
          </w:p>
        </w:tc>
      </w:tr>
      <w:tr w14:paraId="220E36D5">
        <w:trPr>
          <w:jc w:val="center"/>
        </w:trPr>
        <w:tc>
          <w:tcPr>
            <w:tcW w:w="1724" w:type="dxa"/>
            <w:shd w:val="clear" w:color="auto" w:fill="EAF2F8"/>
            <w:tcMar>
              <w:top w:w="90" w:type="dxa"/>
              <w:left w:w="100" w:type="dxa"/>
              <w:bottom w:w="90" w:type="dxa"/>
              <w:right w:w="100" w:type="dxa"/>
            </w:tcMar>
            <w:vAlign w:val="center"/>
          </w:tcPr>
          <w:p w14:paraId="64374E0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来源类型</w:t>
            </w:r>
          </w:p>
        </w:tc>
        <w:tc>
          <w:tcPr>
            <w:tcW w:w="6782" w:type="dxa"/>
            <w:tcMar>
              <w:top w:w="90" w:type="dxa"/>
              <w:left w:w="100" w:type="dxa"/>
              <w:bottom w:w="90" w:type="dxa"/>
              <w:right w:w="100" w:type="dxa"/>
            </w:tcMar>
            <w:vAlign w:val="center"/>
          </w:tcPr>
          <w:p w14:paraId="043C43F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政策文件</w:t>
            </w:r>
          </w:p>
        </w:tc>
      </w:tr>
      <w:tr w14:paraId="2FB50D4A">
        <w:trPr>
          <w:jc w:val="center"/>
        </w:trPr>
        <w:tc>
          <w:tcPr>
            <w:tcW w:w="1724" w:type="dxa"/>
            <w:shd w:val="clear" w:color="auto" w:fill="EAF2F8"/>
            <w:tcMar>
              <w:top w:w="90" w:type="dxa"/>
              <w:left w:w="100" w:type="dxa"/>
              <w:bottom w:w="90" w:type="dxa"/>
              <w:right w:w="100" w:type="dxa"/>
            </w:tcMar>
            <w:vAlign w:val="center"/>
          </w:tcPr>
          <w:p w14:paraId="31262E4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链接或数据库</w:t>
            </w:r>
          </w:p>
        </w:tc>
        <w:tc>
          <w:tcPr>
            <w:tcW w:w="6782" w:type="dxa"/>
            <w:tcMar>
              <w:top w:w="90" w:type="dxa"/>
              <w:left w:w="100" w:type="dxa"/>
              <w:bottom w:w="90" w:type="dxa"/>
              <w:right w:w="100" w:type="dxa"/>
            </w:tcMar>
            <w:vAlign w:val="center"/>
          </w:tcPr>
          <w:p w14:paraId="1227859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https://www.uk100.org/knowledge-hub/cornwall-council-decision-wheel</w:t>
            </w:r>
          </w:p>
        </w:tc>
      </w:tr>
      <w:tr w14:paraId="7D9D2CBF">
        <w:trPr>
          <w:jc w:val="center"/>
        </w:trPr>
        <w:tc>
          <w:tcPr>
            <w:tcW w:w="1724" w:type="dxa"/>
            <w:shd w:val="clear" w:color="auto" w:fill="EAF2F8"/>
            <w:tcMar>
              <w:top w:w="90" w:type="dxa"/>
              <w:left w:w="100" w:type="dxa"/>
              <w:bottom w:w="90" w:type="dxa"/>
              <w:right w:w="100" w:type="dxa"/>
            </w:tcMar>
            <w:vAlign w:val="center"/>
          </w:tcPr>
          <w:p w14:paraId="6658A77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发布时间</w:t>
            </w:r>
          </w:p>
        </w:tc>
        <w:tc>
          <w:tcPr>
            <w:tcW w:w="6782" w:type="dxa"/>
            <w:tcMar>
              <w:top w:w="90" w:type="dxa"/>
              <w:left w:w="100" w:type="dxa"/>
              <w:bottom w:w="90" w:type="dxa"/>
              <w:right w:w="100" w:type="dxa"/>
            </w:tcMar>
            <w:vAlign w:val="center"/>
          </w:tcPr>
          <w:p w14:paraId="1FB16E2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2020年11月19日</w:t>
            </w:r>
          </w:p>
        </w:tc>
      </w:tr>
      <w:tr w14:paraId="236204BA">
        <w:trPr>
          <w:jc w:val="center"/>
        </w:trPr>
        <w:tc>
          <w:tcPr>
            <w:tcW w:w="1724" w:type="dxa"/>
            <w:shd w:val="clear" w:color="auto" w:fill="EAF2F8"/>
            <w:tcMar>
              <w:top w:w="90" w:type="dxa"/>
              <w:left w:w="100" w:type="dxa"/>
              <w:bottom w:w="90" w:type="dxa"/>
              <w:right w:w="100" w:type="dxa"/>
            </w:tcMar>
            <w:vAlign w:val="center"/>
          </w:tcPr>
          <w:p w14:paraId="68C6424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为什么值得收集</w:t>
            </w:r>
          </w:p>
        </w:tc>
        <w:tc>
          <w:tcPr>
            <w:tcW w:w="6782" w:type="dxa"/>
            <w:tcMar>
              <w:top w:w="90" w:type="dxa"/>
              <w:left w:w="100" w:type="dxa"/>
              <w:bottom w:w="90" w:type="dxa"/>
              <w:right w:w="100" w:type="dxa"/>
            </w:tcMar>
            <w:vAlign w:val="center"/>
          </w:tcPr>
          <w:p w14:paraId="1532174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康沃尔决策轮工具的官方说明，直接展示了甜甜圈经济学如何转化为地方政府的实际决策工具，包括工具结构、使用范围、具体案例</w:t>
            </w:r>
          </w:p>
        </w:tc>
      </w:tr>
      <w:tr w14:paraId="463C0AF0">
        <w:trPr>
          <w:jc w:val="center"/>
        </w:trPr>
        <w:tc>
          <w:tcPr>
            <w:tcW w:w="1724" w:type="dxa"/>
            <w:shd w:val="clear" w:color="auto" w:fill="EAF2F8"/>
            <w:tcMar>
              <w:top w:w="90" w:type="dxa"/>
              <w:left w:w="100" w:type="dxa"/>
              <w:bottom w:w="90" w:type="dxa"/>
              <w:right w:w="100" w:type="dxa"/>
            </w:tcMar>
            <w:vAlign w:val="center"/>
          </w:tcPr>
          <w:p w14:paraId="2921275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原文</w:t>
            </w:r>
          </w:p>
        </w:tc>
        <w:tc>
          <w:tcPr>
            <w:tcW w:w="6782" w:type="dxa"/>
            <w:tcMar>
              <w:top w:w="90" w:type="dxa"/>
              <w:left w:w="100" w:type="dxa"/>
              <w:bottom w:w="90" w:type="dxa"/>
              <w:right w:w="100" w:type="dxa"/>
            </w:tcMar>
            <w:vAlign w:val="center"/>
          </w:tcPr>
          <w:p w14:paraId="3A9DF0D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Summary</w:t>
            </w:r>
          </w:p>
          <w:p w14:paraId="33EF4ED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We’re working to become a carbon neutral council. We also have a duty to ensure that social justice is alive and that we’re doing no harm to our communities. The new tool, our decision-making wheel, is based on the Kate Raworth Doughnut Economics model. The wheel shows us how projects and decisions will impact the environment and people. If it shows us that a project will have a negative effect on the climate, citizens or wider environmental concerns like biodiversity and pollution, we can look at mitigations to restore balance. By using the wheel to inform decisions, we can ensure that people and the climate are at the heart of everything this council does. We’re already using it in all Cabinet decisions and are embedding it into all Council decision making processes.</w:t>
            </w:r>
          </w:p>
          <w:p w14:paraId="3DCF56C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Our problem</w:t>
            </w:r>
          </w:p>
          <w:p w14:paraId="6105486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While it’s essential that we tackle climate change, we also have the challenge of ensuring that our citizens and the wider environment aren’t negatively impacted. As a local authority we have a duty to ensure that in looking after the environment, we don’t disadvantage anyone. Cornwall is one of the poorest counties in the country. We have more than a dozen areas ranked as some of the most deprived in the UK, which therefore makes it even more important that we ensure all measures to go greener factor in potential impacts to the most deprived in our communities.</w:t>
            </w:r>
          </w:p>
          <w:p w14:paraId="5B58673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Overview</w:t>
            </w:r>
          </w:p>
          <w:p w14:paraId="29F3362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As a Council, we are working hard to achieve Net Zero by 2030 - but given the economic status of the region, we have a duty to ensure social justice and that none of our measures impact residents negatively. We believe that our Decision Wheel will ensure that the decisions to help combat climate change do not disadvantage the people of Cornwall. How it works The Wheel has two parts. The inner wheel focusses on social and economic issues like wealth and homes. The outer wheel focusses on environmental issues like greenhouse gas emissions and biodiversity. You can see an example of a wheel here. Completed wheels are used in reports to explain the effect of a project. The decision-making wheel is introducing a new way of thinking for the Council. It is helping us to connect how we live, and how we can use our funding more effectively and help the environment. By looking at a set of completed wheels, we can see how we are changing and improving the services we provide. The completed wheels also let us know how the Council is progressing to become a carbon neutral council. We produced a wheel for The Saints Trail - a new set of walking and cycling routes. The Wheel shows how the new routes will improve people’s health and the environment while also potentially disturbing wildlife habitats and increasing the risk of crime. The completed wheel allowed us to review and mitigate the negative impacts.</w:t>
            </w:r>
          </w:p>
          <w:p w14:paraId="1808C99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Timeline / project progress</w:t>
            </w:r>
          </w:p>
          <w:p w14:paraId="7A0ACBF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Decision Wheel has been in use since September 2019 and is now being used within the Council for all significant decisions and externally for Community Infrastructure Levy Fund applications. As it’s only been in use for little over a year, its impact has been forecast but not yet verified.</w:t>
            </w:r>
          </w:p>
          <w:p w14:paraId="621AD9F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Stakeholders</w:t>
            </w:r>
          </w:p>
          <w:p w14:paraId="315A7E5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Decision Wheel is based on the Kate Raworth Doughnut Economics Model. Carbon Neutral Cornwall introduced other Cornwall Council services and Cabinet members to the Wheel and helped develop it into something fit for purpose for local authority decision making processes.</w:t>
            </w:r>
          </w:p>
          <w:p w14:paraId="14FA30C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Whole systems approach</w:t>
            </w:r>
          </w:p>
          <w:p w14:paraId="0B865C9E">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Our approach has been picked up nationally, with huge amounts of interest from other local authorities. Amsterdam has followed our example in adopting a similar Wheel approach for their response to Covid-19. We are also employing the Wheel in our own Covid-19 recovery work.</w:t>
            </w:r>
          </w:p>
          <w:p w14:paraId="16C1999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Impact</w:t>
            </w:r>
          </w:p>
          <w:p w14:paraId="448691A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Many council officers are now using the Wheel to help shape their decision-making processes during project or policy design. This is helping our services and officers consider a much broader range of potential social and environmental impacts. It is putting a holistic approach to sustainability and social justice at the heart of not only project and policy design but other areas such as commissioning and procurement, budget setting and service design.</w:t>
            </w:r>
          </w:p>
          <w:p w14:paraId="2F196E3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Learnings and legacy</w:t>
            </w:r>
          </w:p>
          <w:p w14:paraId="2B45F4A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Work is underway to embed the tool within wider budget setting processes, commissioning and lower level decision-making committees. Feedback has refined what report authors are asked to consider and the areas covered. We have developed a digital version which scores completed segments automatically. The tool is progressing towards a semi-automated system that will produce the relevant Red-Amber-Green ratings (i.e telling you if a proposal is good to go ahead or not). It will also link to the Council’s carbon inventory providing an annual account of decisions and progress against carbon reduction targets. Work is also underway to integrate the wheel with our Comprehensive Impact Assessments (CIA) to enhance that process. This will create a truly comprehensive impact assessment model as the CIA focuses very heavily on human rights, equalities and diversity and safeguarding. We are currently using the Wheel in our Covid-19 recovery work but given the unpredictable nature of this crisis, it’s hard to say how effective it has been just yet. However, we believe that climate change will requires an equally targeted response and the decision wheel provides a means of articulating it.</w:t>
            </w:r>
          </w:p>
        </w:tc>
      </w:tr>
      <w:tr w14:paraId="6657DA72">
        <w:trPr>
          <w:jc w:val="center"/>
        </w:trPr>
        <w:tc>
          <w:tcPr>
            <w:tcW w:w="1724" w:type="dxa"/>
            <w:shd w:val="clear" w:color="auto" w:fill="EAF2F8"/>
            <w:tcMar>
              <w:top w:w="90" w:type="dxa"/>
              <w:left w:w="100" w:type="dxa"/>
              <w:bottom w:w="90" w:type="dxa"/>
              <w:right w:w="100" w:type="dxa"/>
            </w:tcMar>
            <w:vAlign w:val="center"/>
          </w:tcPr>
          <w:p w14:paraId="6B56BF2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中文翻译</w:t>
            </w:r>
          </w:p>
        </w:tc>
        <w:tc>
          <w:tcPr>
            <w:tcW w:w="6782" w:type="dxa"/>
            <w:tcMar>
              <w:top w:w="90" w:type="dxa"/>
              <w:left w:w="100" w:type="dxa"/>
              <w:bottom w:w="90" w:type="dxa"/>
              <w:right w:w="100" w:type="dxa"/>
            </w:tcMar>
            <w:vAlign w:val="center"/>
          </w:tcPr>
          <w:p w14:paraId="1DD5602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摘要</w:t>
            </w:r>
          </w:p>
          <w:p w14:paraId="1090D5D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我们正在努力成为一个碳中和的议会。我们也有责任确保社会正义得以实现，并且不对我们的社区造成伤害。我们的新工具——决策轮——基于凯特·拉沃斯的甜甜圈经济学模型。该决策轮向我们展示了项目和决策将如何影响环境和人民。如果它向我们表明某个项目将对气候、公民或更广泛的环境问题（如生物多样性和污染）产生负面影响，我们可以研究缓解措施以恢复平衡。通过使用决策轮为决策提供信息，我们可以确保人民和气候成为该议会所做一切工作的核心。我们已将其用于所有内阁决策，并正在将其纳入议会所有的决策过程中。</w:t>
            </w:r>
          </w:p>
          <w:p w14:paraId="00CDC65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我们的问题</w:t>
            </w:r>
          </w:p>
          <w:p w14:paraId="7611997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虽然应对气候变化至关重要，但我们也面临着确保我们的公民和更广泛的环境不受到负面影响的挑战。作为地方政府，我们有责任确保在保护环境的同时，不使任何人处于不利地位。康沃尔是英国最贫困的郡之一。我们有十几个地区被列为英国最贫困的地区之一，因此，确保所有旨在绿色发展的措施都考虑到对我们社区中最贫困人群的潜在影响，这一点就更加重要。</w:t>
            </w:r>
          </w:p>
          <w:p w14:paraId="1F5BDDF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概述</w:t>
            </w:r>
          </w:p>
          <w:p w14:paraId="501B95E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作为议会，我们正在努力到2030年实现净零排放——但鉴于该地区的经济状况，我们有责任确保社会正义，并确保我们的任何措施都不会对居民产生负面影响。我们相信，我们的决策轮将确保有助于应对气候变化的决策不会使康沃尔人民处于不利地位。</w:t>
            </w:r>
          </w:p>
          <w:p w14:paraId="028EFFB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工作原理</w:t>
            </w:r>
          </w:p>
          <w:p w14:paraId="53F5951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该决策轮有两个部分。内轮关注社会和经济问题，如财富和住房。外轮关注环境问题，如温室气体排放和生物多样性。您可以在此处查看决策轮的示例。完成的决策轮用于报告中，以解释项目的影响。该决策轮正在为议会引入一种新的思维方式。它正在帮助我们连接我们的生活方式，以及如何更有效地使用我们的资金并帮助环境。通过查看一组完成的决策轮，我们可以看到我们如何改变和改进我们提供的服务。完成的决策轮还让我们了解议会在成为碳中和议会方面取得的进展。</w:t>
            </w:r>
          </w:p>
          <w:p w14:paraId="3BB8B4F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我们为“圣徒小径”（一套新的步行和自行车路线）制作了一个决策轮。该决策轮显示了新路线将如何改善人们的健康和环境，同时也可能干扰野生动物栖息地并增加犯罪风险。完成的决策轮使我们能够审查和减轻负面影响。</w:t>
            </w:r>
          </w:p>
          <w:p w14:paraId="68508FF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时间线/项目进展</w:t>
            </w:r>
          </w:p>
          <w:p w14:paraId="5AEDC7D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该决策轮自2019年9月起投入使用，目前已在议会内部用于所有重大决策，并在外部用于社区基础设施征收基金申请。由于它仅使用了短短一年多，其影响已被预测但尚未得到验证。</w:t>
            </w:r>
          </w:p>
          <w:p w14:paraId="3973B7A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利益相关者</w:t>
            </w:r>
          </w:p>
          <w:p w14:paraId="44552DF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该决策轮基于凯特·拉沃斯的甜甜圈经济学模型。碳中和康沃尔团队向康沃尔郡议会其他部门和内阁成员介绍了该决策轮，并帮助将其发展成为适合地方政府决策过程的工具。</w:t>
            </w:r>
          </w:p>
          <w:p w14:paraId="6BF2E5E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系统方法</w:t>
            </w:r>
          </w:p>
          <w:p w14:paraId="78A8216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我们的方法已被全国采纳，其他地方政府也表现出极大的兴趣。阿姆斯特丹效仿我们的例子，采用了类似的决策轮方法来应对新冠疫情。我们也在自己的新冠疫情恢复工作中使用该决策轮。</w:t>
            </w:r>
          </w:p>
          <w:p w14:paraId="1B348748">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影响</w:t>
            </w:r>
          </w:p>
          <w:p w14:paraId="5D5E2065">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许多议会官员现在正在使用该决策轮来帮助塑造他们在项目或政策设计过程中的决策。这正在帮助我们的服务和官员考虑更广泛的潜在社会和环境影响</w:t>
            </w:r>
            <w:r>
              <w:rPr>
                <w:rFonts w:hint="default" w:asciiTheme="minorEastAsia" w:hAnsiTheme="minorEastAsia" w:eastAsiaTheme="minorEastAsia" w:cstheme="minorEastAsia"/>
                <w:i w:val="0"/>
                <w:iCs w:val="0"/>
                <w:caps w:val="0"/>
                <w:color w:val="0F1115"/>
                <w:spacing w:val="0"/>
                <w:sz w:val="21"/>
                <w:szCs w:val="21"/>
                <w:u w:val="none"/>
                <w:lang w:val="en-US" w:eastAsia="zh-CN"/>
              </w:rPr>
              <w:t>。它正在将可持续性和社会正义的整体方法置于不仅仅是项目和政策设计，还包括委托和采购、预算制定和服务设计等其他领域的核心。</w:t>
            </w:r>
          </w:p>
          <w:p w14:paraId="731F2444">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经验教训和遗产</w:t>
            </w:r>
          </w:p>
          <w:p w14:paraId="05F13C5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正在开展工作将该工具嵌入更广泛的预算制定过程、委托和较低级别的决策委员会中。反馈意见完善了报告作者需要考虑的问题以及所涵盖的领域。我们开发了一个数字版本，可以自动为完成的各个部分打分。该工具正朝着半自动化系统发展，该系统将产生相关的红-黄-绿评级（即告诉您一项提案是否可以继续推进）。它还将连接到议会的碳清单，提供年度决策记录以及碳减排目标的进展情况。目前正在开展工作将该决策轮与我们的综合影响评估相结合，以加强该过程。这将创建一个真正的综合影响评估模型，因为综合影响评估非常侧重于人权、平等、多样性和安全保障。我们目前正在新冠疫情恢复工作中使用该决策轮，但由于这场危机的不可预测性，很难说它的效果如何。然而，我们相信气候变化将需要同样有针对性的应对措施，而决策轮提供了一种阐明这种应对措施的手段。</w:t>
            </w:r>
          </w:p>
        </w:tc>
      </w:tr>
      <w:tr w14:paraId="56409459">
        <w:trPr>
          <w:jc w:val="center"/>
        </w:trPr>
        <w:tc>
          <w:tcPr>
            <w:tcW w:w="1724" w:type="dxa"/>
            <w:shd w:val="clear" w:color="auto" w:fill="EAF2F8"/>
            <w:tcMar>
              <w:top w:w="90" w:type="dxa"/>
              <w:left w:w="100" w:type="dxa"/>
              <w:bottom w:w="90" w:type="dxa"/>
              <w:right w:w="100" w:type="dxa"/>
            </w:tcMar>
            <w:vAlign w:val="center"/>
          </w:tcPr>
          <w:p w14:paraId="2F12D7A1">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你的判断</w:t>
            </w:r>
          </w:p>
        </w:tc>
        <w:tc>
          <w:tcPr>
            <w:tcW w:w="6782" w:type="dxa"/>
            <w:tcMar>
              <w:top w:w="90" w:type="dxa"/>
              <w:left w:w="100" w:type="dxa"/>
              <w:bottom w:w="90" w:type="dxa"/>
              <w:right w:w="100" w:type="dxa"/>
            </w:tcMar>
            <w:vAlign w:val="center"/>
          </w:tcPr>
          <w:p w14:paraId="3F715A9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是否可用于论文：☑核心文献  □辅助文献  □备用资料</w:t>
            </w:r>
            <w:r>
              <w:rPr>
                <w:rFonts w:hint="eastAsia"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eastAsia" w:asciiTheme="minorEastAsia" w:hAnsiTheme="minorEastAsia" w:eastAsiaTheme="minorEastAsia" w:cstheme="minorEastAsia"/>
                <w:i w:val="0"/>
                <w:iCs w:val="0"/>
                <w:caps w:val="0"/>
                <w:color w:val="0F1115"/>
                <w:spacing w:val="0"/>
                <w:sz w:val="21"/>
                <w:szCs w:val="21"/>
                <w:u w:val="none"/>
                <w:lang w:val="en-US" w:eastAsia="zh-CN"/>
              </w:rPr>
              <w:t>可信度：☑高  □中  □低</w:t>
            </w:r>
          </w:p>
        </w:tc>
      </w:tr>
    </w:tbl>
    <w:p w14:paraId="6298CF32">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四、最后汇总（每组课堂结束前必须完成）</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6"/>
        <w:gridCol w:w="5260"/>
      </w:tblGrid>
      <w:tr w14:paraId="5D513D12">
        <w:trPr>
          <w:jc w:val="center"/>
        </w:trPr>
        <w:tc>
          <w:tcPr>
            <w:tcW w:w="3681" w:type="dxa"/>
            <w:shd w:val="clear" w:color="auto" w:fill="D9EAF7"/>
            <w:tcMar>
              <w:top w:w="90" w:type="dxa"/>
              <w:left w:w="100" w:type="dxa"/>
              <w:bottom w:w="90" w:type="dxa"/>
              <w:right w:w="100" w:type="dxa"/>
            </w:tcMar>
            <w:vAlign w:val="center"/>
          </w:tcPr>
          <w:p w14:paraId="1B5191D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最重要的</w:t>
            </w:r>
            <w:r>
              <w:rPr>
                <w:rFonts w:hint="eastAsia" w:asciiTheme="minorEastAsia" w:hAnsiTheme="minorEastAsia" w:eastAsiaTheme="minorEastAsia" w:cstheme="minorEastAsia"/>
                <w:i w:val="0"/>
                <w:iCs w:val="0"/>
                <w:caps w:val="0"/>
                <w:color w:val="0F1115"/>
                <w:spacing w:val="0"/>
                <w:sz w:val="21"/>
                <w:szCs w:val="21"/>
                <w:u w:val="none"/>
                <w:lang w:val="en-US" w:eastAsia="zh-CN"/>
              </w:rPr>
              <w:t>几条</w:t>
            </w:r>
            <w:r>
              <w:rPr>
                <w:rFonts w:hint="default" w:asciiTheme="minorEastAsia" w:hAnsiTheme="minorEastAsia" w:eastAsiaTheme="minorEastAsia" w:cstheme="minorEastAsia"/>
                <w:i w:val="0"/>
                <w:iCs w:val="0"/>
                <w:caps w:val="0"/>
                <w:color w:val="0F1115"/>
                <w:spacing w:val="0"/>
                <w:sz w:val="21"/>
                <w:szCs w:val="21"/>
                <w:u w:val="none"/>
                <w:lang w:val="en-US" w:eastAsia="zh-CN"/>
              </w:rPr>
              <w:t>结论</w:t>
            </w:r>
          </w:p>
        </w:tc>
        <w:tc>
          <w:tcPr>
            <w:tcW w:w="5941" w:type="dxa"/>
            <w:tcMar>
              <w:top w:w="90" w:type="dxa"/>
              <w:left w:w="100" w:type="dxa"/>
              <w:bottom w:w="90" w:type="dxa"/>
              <w:right w:w="100" w:type="dxa"/>
            </w:tcMar>
            <w:vAlign w:val="center"/>
          </w:tcPr>
          <w:p w14:paraId="2BADDE40">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①康沃尔是英格兰首个采用甜甜圈的地方政府（2019年）。②核心工具“决策轮”用于所有重大决策，已评估50余个项目。③面临数据不足、国家政策制约、社会-生态权衡三大挑战。④地方实际强调“良好增长”，偏离原作者的“增长不可知论”。⑤社区层面的实践更贴近甜甜圈原始精神。</w:t>
            </w:r>
          </w:p>
        </w:tc>
      </w:tr>
      <w:tr w14:paraId="19985B7F">
        <w:trPr>
          <w:jc w:val="center"/>
        </w:trPr>
        <w:tc>
          <w:tcPr>
            <w:tcW w:w="3681" w:type="dxa"/>
            <w:shd w:val="clear" w:color="auto" w:fill="D9EAF7"/>
            <w:tcMar>
              <w:top w:w="90" w:type="dxa"/>
              <w:left w:w="100" w:type="dxa"/>
              <w:bottom w:w="90" w:type="dxa"/>
              <w:right w:w="100" w:type="dxa"/>
            </w:tcMar>
            <w:vAlign w:val="center"/>
          </w:tcPr>
          <w:p w14:paraId="10A0C01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最能体现“甜甜圈实践”的证据</w:t>
            </w:r>
          </w:p>
        </w:tc>
        <w:tc>
          <w:tcPr>
            <w:tcW w:w="5941" w:type="dxa"/>
            <w:tcMar>
              <w:top w:w="90" w:type="dxa"/>
              <w:left w:w="100" w:type="dxa"/>
              <w:bottom w:w="90" w:type="dxa"/>
              <w:right w:w="100" w:type="dxa"/>
            </w:tcMar>
            <w:vAlign w:val="center"/>
          </w:tcPr>
          <w:p w14:paraId="1B3C097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①决策轮（内轮：健康、住房、收入等；外轮：碳排放、生物多样性等）。②Saints Trail项目案例（12英里骑行路线，评估碳减排、生态、健康、经济）。③Cornwall Plan（2050愿景，以甜甜圈为框架）。④社区种植计划（42人投票确定的短期优先目标）。</w:t>
            </w:r>
          </w:p>
        </w:tc>
      </w:tr>
      <w:tr w14:paraId="6ADDC39D">
        <w:trPr>
          <w:jc w:val="center"/>
        </w:trPr>
        <w:tc>
          <w:tcPr>
            <w:tcW w:w="3681" w:type="dxa"/>
            <w:shd w:val="clear" w:color="auto" w:fill="D9EAF7"/>
            <w:tcMar>
              <w:top w:w="90" w:type="dxa"/>
              <w:left w:w="100" w:type="dxa"/>
              <w:bottom w:w="90" w:type="dxa"/>
              <w:right w:w="100" w:type="dxa"/>
            </w:tcMar>
            <w:vAlign w:val="center"/>
          </w:tcPr>
          <w:p w14:paraId="04FACEA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这座城市最关注的社会问题</w:t>
            </w:r>
          </w:p>
        </w:tc>
        <w:tc>
          <w:tcPr>
            <w:tcW w:w="5941" w:type="dxa"/>
            <w:tcMar>
              <w:top w:w="90" w:type="dxa"/>
              <w:left w:w="100" w:type="dxa"/>
              <w:bottom w:w="90" w:type="dxa"/>
              <w:right w:w="100" w:type="dxa"/>
            </w:tcMar>
            <w:vAlign w:val="center"/>
          </w:tcPr>
          <w:p w14:paraId="6550E13D">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低工资与就业不稳定。</w:t>
            </w:r>
          </w:p>
        </w:tc>
      </w:tr>
      <w:tr w14:paraId="5E1E2305">
        <w:trPr>
          <w:jc w:val="center"/>
        </w:trPr>
        <w:tc>
          <w:tcPr>
            <w:tcW w:w="3681" w:type="dxa"/>
            <w:shd w:val="clear" w:color="auto" w:fill="D9EAF7"/>
            <w:tcMar>
              <w:top w:w="90" w:type="dxa"/>
              <w:left w:w="100" w:type="dxa"/>
              <w:bottom w:w="90" w:type="dxa"/>
              <w:right w:w="100" w:type="dxa"/>
            </w:tcMar>
            <w:vAlign w:val="center"/>
          </w:tcPr>
          <w:p w14:paraId="58A651CC">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这座城市最关注的生态问题</w:t>
            </w:r>
          </w:p>
        </w:tc>
        <w:tc>
          <w:tcPr>
            <w:tcW w:w="5941" w:type="dxa"/>
            <w:tcMar>
              <w:top w:w="90" w:type="dxa"/>
              <w:left w:w="100" w:type="dxa"/>
              <w:bottom w:w="90" w:type="dxa"/>
              <w:right w:w="100" w:type="dxa"/>
            </w:tcMar>
            <w:vAlign w:val="center"/>
          </w:tcPr>
          <w:p w14:paraId="42E4C9CA">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气候紧急状态（2030净零碳）。</w:t>
            </w:r>
          </w:p>
        </w:tc>
      </w:tr>
      <w:tr w14:paraId="29155A55">
        <w:trPr>
          <w:jc w:val="center"/>
        </w:trPr>
        <w:tc>
          <w:tcPr>
            <w:tcW w:w="3681" w:type="dxa"/>
            <w:shd w:val="clear" w:color="auto" w:fill="D9EAF7"/>
            <w:tcMar>
              <w:top w:w="90" w:type="dxa"/>
              <w:left w:w="100" w:type="dxa"/>
              <w:bottom w:w="90" w:type="dxa"/>
              <w:right w:w="100" w:type="dxa"/>
            </w:tcMar>
            <w:vAlign w:val="center"/>
          </w:tcPr>
          <w:p w14:paraId="4532727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eastAsia" w:asciiTheme="minorEastAsia" w:hAnsiTheme="minorEastAsia" w:eastAsiaTheme="minorEastAsia" w:cstheme="minorEastAsia"/>
                <w:i w:val="0"/>
                <w:iCs w:val="0"/>
                <w:caps w:val="0"/>
                <w:color w:val="0F1115"/>
                <w:spacing w:val="0"/>
                <w:sz w:val="21"/>
                <w:szCs w:val="21"/>
                <w:u w:val="none"/>
                <w:lang w:val="en-US" w:eastAsia="zh-CN"/>
              </w:rPr>
              <w:t>这座城市更关注社会还是生态问题？</w:t>
            </w:r>
          </w:p>
        </w:tc>
        <w:tc>
          <w:tcPr>
            <w:tcW w:w="5941" w:type="dxa"/>
            <w:tcMar>
              <w:top w:w="90" w:type="dxa"/>
              <w:left w:w="100" w:type="dxa"/>
              <w:bottom w:w="90" w:type="dxa"/>
              <w:right w:w="100" w:type="dxa"/>
            </w:tcMar>
            <w:vAlign w:val="center"/>
          </w:tcPr>
          <w:p w14:paraId="0B467579">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两者并重，但实践中社会问题（尤其是就业和经济增长）优先于生态问题。地方将“良好增长”（创造高薪工作）作为首要目标，与甜甜圈“增长不可知论”存在冲突</w:t>
            </w:r>
          </w:p>
        </w:tc>
      </w:tr>
    </w:tbl>
    <w:p w14:paraId="33372B46">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五、老师提醒</w:t>
      </w:r>
    </w:p>
    <w:p w14:paraId="6683DF57">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不要只抄城市介绍，要抓“为什么采用甜甜圈、做了什么、推进到什么程度”。</w:t>
      </w:r>
    </w:p>
    <w:p w14:paraId="6C1BEE4F">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不要只放链接不做整理；也不要只有翻译没有原文。</w:t>
      </w:r>
    </w:p>
    <w:p w14:paraId="06924783">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外网资料可能下次打不开，请及时保存标题、链接、截图或 PDF。</w:t>
      </w:r>
    </w:p>
    <w:p w14:paraId="5F88927B">
      <w:pPr>
        <w:pStyle w:val="4"/>
        <w:keepNext w:val="0"/>
        <w:keepLines w:val="0"/>
        <w:pageBreakBefore w:val="0"/>
        <w:widowControl/>
        <w:suppressLineNumbers w:val="0"/>
        <w:kinsoku/>
        <w:wordWrap/>
        <w:overflowPunct/>
        <w:topLinePunct w:val="0"/>
        <w:autoSpaceDE/>
        <w:autoSpaceDN/>
        <w:bidi w:val="0"/>
        <w:adjustRightInd/>
        <w:snapToGrid/>
        <w:spacing w:before="320" w:beforeAutospacing="0" w:after="200" w:afterAutospacing="0"/>
        <w:ind w:left="0" w:right="0"/>
        <w:textAlignment w:val="auto"/>
        <w:rPr>
          <w:rFonts w:hint="eastAsia"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没有找到证据的内容不要猜</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Songti SC Regular">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Arial Unicode MS">
    <w:panose1 w:val="020B0604020202020204"/>
    <w:charset w:val="86"/>
    <w:family w:val="auto"/>
    <w:pitch w:val="default"/>
    <w:sig w:usb0="FFFFFFFF" w:usb1="E9FFFFFF" w:usb2="0000003F" w:usb3="00000000" w:csb0="603F01FF" w:csb1="FFFF0000"/>
  </w:font>
  <w:font w:name="Songti SC">
    <w:panose1 w:val="02010800040101010101"/>
    <w:charset w:val="86"/>
    <w:family w:val="auto"/>
    <w:pitch w:val="default"/>
    <w:sig w:usb0="00000001" w:usb1="080F0000" w:usb2="00000000" w:usb3="00000000" w:csb0="00040000" w:csb1="00000000"/>
  </w:font>
  <w:font w:name="宋体-简">
    <w:panose1 w:val="02010800040101010101"/>
    <w:charset w:val="86"/>
    <w:family w:val="auto"/>
    <w:pitch w:val="default"/>
    <w:sig w:usb0="00000001" w:usb1="080F0000" w:usb2="00000000" w:usb3="00000000" w:csb0="00040000" w:csb1="00000000"/>
  </w:font>
  <w:font w:name="Symbol">
    <w:altName w:val="Kingsoft Sign"/>
    <w:panose1 w:val="00000000000000000000"/>
    <w:charset w:val="00"/>
    <w:family w:val="auto"/>
    <w:pitch w:val="default"/>
    <w:sig w:usb0="00000000" w:usb1="00000000" w:usb2="00000000" w:usb3="00000000" w:csb0="00000000" w:csb1="00000000"/>
  </w:font>
  <w:font w:name="Open Sans">
    <w:altName w:val="苹方-简"/>
    <w:panose1 w:val="00000000000000000000"/>
    <w:charset w:val="00"/>
    <w:family w:val="auto"/>
    <w:pitch w:val="default"/>
    <w:sig w:usb0="00000000" w:usb1="00000000" w:usb2="00000000" w:usb3="00000000" w:csb0="00000000" w:csb1="00000000"/>
  </w:font>
  <w:font w:name="苹方-简">
    <w:altName w:val="Times New Roman"/>
    <w:panose1 w:val="020B0600000000000000"/>
    <w:charset w:val="00"/>
    <w:family w:val="auto"/>
    <w:pitch w:val="default"/>
    <w:sig w:usb0="A00002FF" w:usb1="7ACFFDFB" w:usb2="00000017" w:usb3="00000000" w:csb0="00040001" w:csb1="00000000"/>
  </w:font>
  <w:font w:name="Kaiti SC Regular">
    <w:panose1 w:val="02010600040101010101"/>
    <w:charset w:val="86"/>
    <w:family w:val="auto"/>
    <w:pitch w:val="default"/>
    <w:sig w:usb0="80000287" w:usb1="280F3C52" w:usb2="00000016" w:usb3="00000000" w:csb0="0004001F" w:csb1="00000000"/>
  </w:font>
  <w:font w:name="sans-serif">
    <w:altName w:val="苹方-简"/>
    <w:panose1 w:val="00000000000000000000"/>
    <w:charset w:val="00"/>
    <w:family w:val="auto"/>
    <w:pitch w:val="default"/>
    <w:sig w:usb0="00000000" w:usb1="00000000" w:usb2="00000000" w:usb3="00000000" w:csb0="00000000" w:csb1="00000000"/>
  </w:font>
  <w:font w:name="Arial">
    <w:panose1 w:val="020B0604020202090204"/>
    <w:charset w:val="00"/>
    <w:family w:val="auto"/>
    <w:pitch w:val="default"/>
    <w:sig w:usb0="E0000AFF" w:usb1="00007843" w:usb2="00000001" w:usb3="00000000" w:csb0="400001BF" w:csb1="DFF70000"/>
  </w:font>
  <w:font w:name="helvetica">
    <w:panose1 w:val="00000000000000000000"/>
    <w:charset w:val="00"/>
    <w:family w:val="auto"/>
    <w:pitch w:val="default"/>
    <w:sig w:usb0="E00002FF" w:usb1="5000785B" w:usb2="00000000" w:usb3="00000000" w:csb0="2000019F" w:csb1="4F010000"/>
  </w:font>
  <w:font w:name="Courier New">
    <w:panose1 w:val="02070409020205090404"/>
    <w:charset w:val="00"/>
    <w:family w:val="auto"/>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var(--dsw-font-markdown-base)">
    <w:altName w:val="苹方-简"/>
    <w:panose1 w:val="00000000000000000000"/>
    <w:charset w:val="00"/>
    <w:family w:val="auto"/>
    <w:pitch w:val="default"/>
    <w:sig w:usb0="00000000" w:usb1="00000000" w:usb2="00000000" w:usb3="00000000" w:csb0="00000000" w:csb1="00000000"/>
  </w:font>
  <w:font w:name="var(--headings)">
    <w:altName w:val="苹方-简"/>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BFC5AD"/>
    <w:rsid w:val="43BFC5AD"/>
    <w:rsid w:val="5DFFB64B"/>
    <w:rsid w:val="7AE8D6B5"/>
    <w:rsid w:val="7FFC97F5"/>
    <w:rsid w:val="FDFF5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Arial" w:hAnsi="Arial" w:eastAsia="微软雅黑" w:cstheme="minorBidi"/>
      <w:sz w:val="21"/>
      <w:szCs w:val="22"/>
      <w:lang w:val="en-US" w:eastAsia="en-US"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semiHidden/>
    <w:unhideWhenUsed/>
    <w:uiPriority w:val="99"/>
    <w:pPr>
      <w:spacing w:beforeAutospacing="1" w:after="0" w:afterAutospacing="1"/>
    </w:pPr>
    <w:rPr>
      <w:rFonts w:cs="Times New Roman"/>
      <w:sz w:val="24"/>
      <w:lang w:eastAsia="zh-CN"/>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bCs/>
    </w:rPr>
  </w:style>
  <w:style w:type="character" w:styleId="9">
    <w:name w:val="Emphasis"/>
    <w:basedOn w:val="7"/>
    <w:qFormat/>
    <w:uiPriority w:val="20"/>
    <w:rPr>
      <w:i/>
      <w:iCs/>
    </w:rPr>
  </w:style>
  <w:style w:type="character" w:styleId="10">
    <w:name w:val="Hyperlink"/>
    <w:basedOn w:val="7"/>
    <w:semiHidden/>
    <w:unhideWhenUsed/>
    <w:uiPriority w:val="99"/>
    <w:rPr>
      <w:color w:val="0000FF"/>
      <w:u w:val="single"/>
    </w:rPr>
  </w:style>
  <w:style w:type="paragraph" w:customStyle="1" w:styleId="11">
    <w:name w:val="p5"/>
    <w:basedOn w:val="1"/>
    <w:uiPriority w:val="0"/>
    <w:pPr>
      <w:spacing w:before="0" w:beforeAutospacing="0" w:after="0" w:afterAutospacing="0"/>
      <w:ind w:left="0" w:right="0"/>
      <w:jc w:val="left"/>
    </w:pPr>
    <w:rPr>
      <w:rFonts w:ascii="helvetica" w:hAnsi="helvetica" w:eastAsia="helvetica" w:cs="helvetica"/>
      <w:color w:val="16689B"/>
      <w:kern w:val="0"/>
      <w:sz w:val="28"/>
      <w:szCs w:val="28"/>
      <w:lang w:val="en-US" w:eastAsia="zh-CN" w:bidi="ar"/>
    </w:rPr>
  </w:style>
  <w:style w:type="paragraph" w:customStyle="1" w:styleId="12">
    <w:name w:val="p4"/>
    <w:basedOn w:val="1"/>
    <w:uiPriority w:val="0"/>
    <w:pPr>
      <w:spacing w:before="0" w:beforeAutospacing="0" w:after="0" w:afterAutospacing="0"/>
      <w:ind w:left="0" w:right="0"/>
      <w:jc w:val="left"/>
    </w:pPr>
    <w:rPr>
      <w:rFonts w:hint="default" w:ascii="helvetica" w:hAnsi="helvetica" w:eastAsia="helvetica" w:cs="helvetica"/>
      <w:color w:val="000000"/>
      <w:kern w:val="0"/>
      <w:sz w:val="32"/>
      <w:szCs w:val="32"/>
      <w:lang w:val="en-US" w:eastAsia="zh-CN" w:bidi="ar"/>
    </w:rPr>
  </w:style>
  <w:style w:type="paragraph" w:customStyle="1" w:styleId="13">
    <w:name w:val="p2"/>
    <w:basedOn w:val="1"/>
    <w:uiPriority w:val="0"/>
    <w:pPr>
      <w:spacing w:before="0" w:beforeAutospacing="0" w:after="0" w:afterAutospacing="0"/>
      <w:ind w:left="0" w:right="0"/>
      <w:jc w:val="left"/>
    </w:pPr>
    <w:rPr>
      <w:rFonts w:hint="default" w:ascii="helvetica" w:hAnsi="helvetica" w:eastAsia="helvetica" w:cs="helvetica"/>
      <w:color w:val="000000"/>
      <w:kern w:val="0"/>
      <w:sz w:val="28"/>
      <w:szCs w:val="28"/>
      <w:lang w:val="en-US" w:eastAsia="zh-CN" w:bidi="ar"/>
    </w:rPr>
  </w:style>
  <w:style w:type="paragraph" w:customStyle="1" w:styleId="14">
    <w:name w:val="p3"/>
    <w:basedOn w:val="1"/>
    <w:uiPriority w:val="0"/>
    <w:pPr>
      <w:spacing w:before="0" w:beforeAutospacing="0" w:after="0" w:afterAutospacing="0"/>
      <w:ind w:left="0" w:right="0"/>
      <w:jc w:val="left"/>
    </w:pPr>
    <w:rPr>
      <w:rFonts w:hint="default" w:ascii="helvetica" w:hAnsi="helvetica" w:eastAsia="helvetica" w:cs="helvetica"/>
      <w:color w:val="000000"/>
      <w:kern w:val="0"/>
      <w:sz w:val="42"/>
      <w:szCs w:val="42"/>
      <w:lang w:val="en-US" w:eastAsia="zh-CN" w:bidi="ar"/>
    </w:rPr>
  </w:style>
  <w:style w:type="character" w:customStyle="1" w:styleId="15">
    <w:name w:val="s1"/>
    <w:basedOn w:val="7"/>
    <w:uiPriority w:val="0"/>
    <w:rPr>
      <w:color w:val="16689B"/>
    </w:rPr>
  </w:style>
  <w:style w:type="character" w:customStyle="1" w:styleId="16">
    <w:name w:val="s2"/>
    <w:basedOn w:val="7"/>
    <w:uiPriority w:val="0"/>
    <w:rPr>
      <w:color w:val="000000"/>
    </w:rPr>
  </w:style>
  <w:style w:type="paragraph" w:customStyle="1" w:styleId="17">
    <w:name w:val="p1"/>
    <w:basedOn w:val="1"/>
    <w:uiPriority w:val="0"/>
    <w:pPr>
      <w:spacing w:before="0" w:beforeAutospacing="0" w:after="0" w:afterAutospacing="0"/>
      <w:ind w:left="0" w:right="0"/>
      <w:jc w:val="left"/>
    </w:pPr>
    <w:rPr>
      <w:rFonts w:hint="default" w:ascii="helvetica" w:hAnsi="helvetica" w:eastAsia="helvetica" w:cs="helvetica"/>
      <w:color w:val="523462"/>
      <w:kern w:val="0"/>
      <w:sz w:val="56"/>
      <w:szCs w:val="56"/>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69</Pages>
  <Words>0</Words>
  <Characters>0</Characters>
  <Lines>0</Lines>
  <Paragraphs>0</Paragraphs>
  <TotalTime>1</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2026-05-01T22:31:00Z</dcterms:created>
  <dc:creator>。</dc:creator>
  <cp:lastModifiedBy>。</cp:lastModifiedBy>
  <dcterms:modified xsi:type="dcterms:W3CDTF">2026-05-02T00:56:47Z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230045C0ED400E4F40B9F469EEF5D85A_41</vt:lpwstr>
  </property>
</Properties>
</file>